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E64F" w14:textId="77777777" w:rsidR="006341E3" w:rsidRDefault="00CA4C26">
      <w:pPr>
        <w:pStyle w:val="Title"/>
        <w:rPr>
          <w:b/>
        </w:rPr>
      </w:pPr>
      <w:r>
        <w:rPr>
          <w:b/>
        </w:rPr>
        <w:t>Student Fees and Refund Policy</w:t>
      </w:r>
    </w:p>
    <w:p w14:paraId="24580E49" w14:textId="77777777" w:rsidR="006341E3" w:rsidRDefault="00CA4C26">
      <w:pPr>
        <w:pStyle w:val="Heading1"/>
        <w:numPr>
          <w:ilvl w:val="0"/>
          <w:numId w:val="2"/>
        </w:numPr>
        <w:ind w:left="0"/>
      </w:pPr>
      <w:r>
        <w:t>Purpose</w:t>
      </w:r>
    </w:p>
    <w:p w14:paraId="6128D917" w14:textId="77777777" w:rsidR="006341E3" w:rsidRDefault="00CA4C26">
      <w:r>
        <w:t>The purpose of this policy is to detail the fees related processes and procedures applicable to students who are or wish to be enrolled with UniSmarter.</w:t>
      </w:r>
    </w:p>
    <w:p w14:paraId="771D27A3" w14:textId="77777777" w:rsidR="006341E3" w:rsidRDefault="00CA4C26">
      <w:pPr>
        <w:pStyle w:val="Heading1"/>
        <w:numPr>
          <w:ilvl w:val="0"/>
          <w:numId w:val="2"/>
        </w:numPr>
        <w:ind w:left="0"/>
      </w:pPr>
      <w:r>
        <w:t>Application</w:t>
      </w:r>
    </w:p>
    <w:p w14:paraId="348681B7" w14:textId="77777777" w:rsidR="006341E3" w:rsidRDefault="00CA4C26">
      <w:r>
        <w:t>This policy applies to all modules offered by UniSmarter to the students.</w:t>
      </w:r>
    </w:p>
    <w:p w14:paraId="272B19BB" w14:textId="77777777" w:rsidR="006341E3" w:rsidRDefault="00CA4C26">
      <w:pPr>
        <w:pStyle w:val="Heading1"/>
        <w:numPr>
          <w:ilvl w:val="0"/>
          <w:numId w:val="2"/>
        </w:numPr>
        <w:ind w:left="0"/>
      </w:pPr>
      <w:r>
        <w:t>Tuition Fees</w:t>
      </w:r>
    </w:p>
    <w:p w14:paraId="3B86E304" w14:textId="77777777" w:rsidR="006341E3" w:rsidRDefault="00CA4C26">
      <w:pPr>
        <w:rPr>
          <w:highlight w:val="yellow"/>
        </w:rPr>
      </w:pPr>
      <w:r>
        <w:t>Students are charged tuition fees for the modules in which they are enrolled. The latest tuition fees are available on the UniSmarter website.</w:t>
      </w:r>
    </w:p>
    <w:p w14:paraId="40BFE041" w14:textId="77777777" w:rsidR="006341E3" w:rsidRDefault="00CA4C26">
      <w:r>
        <w:t>Tuition Fees may vary each year and students must pay the latest module tuition fee applicable to the study period in which they are enrolled.</w:t>
      </w:r>
    </w:p>
    <w:p w14:paraId="1C0AE240" w14:textId="77777777" w:rsidR="006341E3" w:rsidRDefault="00CA4C26">
      <w:r>
        <w:t>It is the student’s responsibility to ensure that tuition fees are paid no later than the due date.</w:t>
      </w:r>
    </w:p>
    <w:p w14:paraId="68967369" w14:textId="77777777" w:rsidR="006341E3" w:rsidRDefault="00CA4C26">
      <w:pPr>
        <w:pStyle w:val="Heading1"/>
        <w:numPr>
          <w:ilvl w:val="0"/>
          <w:numId w:val="2"/>
        </w:numPr>
        <w:ind w:left="0"/>
      </w:pPr>
      <w:bookmarkStart w:id="0" w:name="_heading=h.evpngg1xcwkf" w:colFirst="0" w:colLast="0"/>
      <w:bookmarkEnd w:id="0"/>
      <w:r>
        <w:t>Other Fees or Charges</w:t>
      </w:r>
    </w:p>
    <w:p w14:paraId="6ED66BE4" w14:textId="77777777" w:rsidR="006341E3" w:rsidRDefault="00CA4C26">
      <w:r>
        <w:t xml:space="preserve">Students will be charged a Supplementary Exam fee if they are approved for a supplementary final exam under the Special Consideration policy (also refer to Final Examination policy and the Letter of Offer). The fees must be paid before taking the supplementary exam. </w:t>
      </w:r>
    </w:p>
    <w:p w14:paraId="32F6077C" w14:textId="77777777" w:rsidR="006341E3" w:rsidRDefault="00CA4C26">
      <w:pPr>
        <w:pStyle w:val="Heading1"/>
        <w:numPr>
          <w:ilvl w:val="0"/>
          <w:numId w:val="2"/>
        </w:numPr>
        <w:ind w:left="0"/>
      </w:pPr>
      <w:r>
        <w:t>Payment Options and Due Dates</w:t>
      </w:r>
    </w:p>
    <w:p w14:paraId="2389EB0D" w14:textId="77777777" w:rsidR="006341E3" w:rsidRDefault="00CA4C26">
      <w:r>
        <w:t>It is the student’s responsibility to ensure that an appropriate payment option has been actioned prior to the due date for the study period in which they are enrolled.</w:t>
      </w:r>
    </w:p>
    <w:p w14:paraId="7D0B24BD" w14:textId="77777777" w:rsidR="006341E3" w:rsidRDefault="00CA4C26">
      <w:r>
        <w:t>Payment Options and due dates are indicated for:</w:t>
      </w:r>
    </w:p>
    <w:p w14:paraId="2F8D70C1" w14:textId="77777777" w:rsidR="006341E3" w:rsidRDefault="00CA4C26">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340"/>
        </w:tabs>
        <w:spacing w:line="240" w:lineRule="auto"/>
        <w:ind w:left="714" w:right="0" w:hanging="357"/>
      </w:pPr>
      <w:r>
        <w:rPr>
          <w:i/>
        </w:rPr>
        <w:t>Commencing students</w:t>
      </w:r>
      <w:r>
        <w:t xml:space="preserve">:  </w:t>
      </w:r>
    </w:p>
    <w:p w14:paraId="602B6CF6" w14:textId="77777777" w:rsidR="006341E3" w:rsidRDefault="00CA4C26">
      <w:pPr>
        <w:tabs>
          <w:tab w:val="left" w:pos="340"/>
        </w:tabs>
        <w:spacing w:line="240" w:lineRule="auto"/>
        <w:ind w:left="720"/>
      </w:pPr>
      <w:r>
        <w:t>In the offer letter received by students commencing study with UniSmarter for the first time;</w:t>
      </w:r>
    </w:p>
    <w:p w14:paraId="7CFFF2D4" w14:textId="77777777" w:rsidR="006341E3" w:rsidRDefault="006341E3">
      <w:pPr>
        <w:tabs>
          <w:tab w:val="left" w:pos="340"/>
        </w:tabs>
        <w:spacing w:line="240" w:lineRule="auto"/>
        <w:ind w:left="720"/>
      </w:pPr>
    </w:p>
    <w:p w14:paraId="0213AA94" w14:textId="77777777" w:rsidR="006341E3" w:rsidRDefault="00CA4C26">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340"/>
        </w:tabs>
        <w:spacing w:before="0" w:line="240" w:lineRule="auto"/>
        <w:ind w:right="0"/>
      </w:pPr>
      <w:r>
        <w:rPr>
          <w:i/>
        </w:rPr>
        <w:t>Continuing students</w:t>
      </w:r>
      <w:r>
        <w:t>:</w:t>
      </w:r>
    </w:p>
    <w:p w14:paraId="4783911C" w14:textId="77777777" w:rsidR="006341E3" w:rsidRDefault="00CA4C26">
      <w:pPr>
        <w:tabs>
          <w:tab w:val="left" w:pos="340"/>
        </w:tabs>
        <w:spacing w:after="240" w:line="240" w:lineRule="auto"/>
        <w:ind w:left="720"/>
      </w:pPr>
      <w:r>
        <w:t>No later than close of business on the Friday prior to the week in which teaching of the module commences.  The date can also be viewed on the website in the Important Dates section.</w:t>
      </w:r>
    </w:p>
    <w:p w14:paraId="1D62B27F" w14:textId="77777777" w:rsidR="006341E3" w:rsidRDefault="00CA4C26">
      <w:pPr>
        <w:pStyle w:val="Heading1"/>
        <w:numPr>
          <w:ilvl w:val="0"/>
          <w:numId w:val="2"/>
        </w:numPr>
        <w:ind w:left="0"/>
      </w:pPr>
      <w:proofErr w:type="gramStart"/>
      <w:r>
        <w:t>Non Payment</w:t>
      </w:r>
      <w:proofErr w:type="gramEnd"/>
      <w:r>
        <w:t xml:space="preserve"> of Fees</w:t>
      </w:r>
    </w:p>
    <w:p w14:paraId="6E667C03" w14:textId="77777777" w:rsidR="006341E3" w:rsidRDefault="00CA4C26">
      <w:r>
        <w:t xml:space="preserve">UniSmarter reserves the right to cancel a student’s enrolment in a module/s during a study period if the student has not paid tuition fees by the due date.  </w:t>
      </w:r>
    </w:p>
    <w:p w14:paraId="6CB08309" w14:textId="77777777" w:rsidR="006341E3" w:rsidRDefault="00CA4C26">
      <w:r>
        <w:t>Any student who has outstanding fees at the end of a study period will not receive final grades for the modules in which they have been enrolled so will not have the opportunity to progress to further study with any articulation partners of UniSmarter.</w:t>
      </w:r>
    </w:p>
    <w:p w14:paraId="4A9FEB87" w14:textId="77777777" w:rsidR="006341E3" w:rsidRDefault="00CA4C26">
      <w:pPr>
        <w:pStyle w:val="Heading1"/>
        <w:numPr>
          <w:ilvl w:val="0"/>
          <w:numId w:val="2"/>
        </w:numPr>
        <w:ind w:left="0"/>
      </w:pPr>
      <w:r>
        <w:lastRenderedPageBreak/>
        <w:t>Refunds</w:t>
      </w:r>
    </w:p>
    <w:p w14:paraId="741B6C3D" w14:textId="77777777" w:rsidR="006341E3" w:rsidRDefault="00CA4C26">
      <w:r>
        <w:t xml:space="preserve">A student may cancel their enrollment in a </w:t>
      </w:r>
      <w:proofErr w:type="gramStart"/>
      <w:r>
        <w:t>module / modules</w:t>
      </w:r>
      <w:proofErr w:type="gramEnd"/>
      <w:r>
        <w:t xml:space="preserve"> at any time.  Student notifications of an enrollment cancellation or deferral to another study period, must be made in writing to UniSmarter.</w:t>
      </w:r>
    </w:p>
    <w:p w14:paraId="5B1443F7" w14:textId="77777777" w:rsidR="006341E3" w:rsidRDefault="00CA4C26">
      <w:r>
        <w:t>The refund applicable will be dependent upon the date the student notification is received by UniSmarter.</w:t>
      </w:r>
    </w:p>
    <w:p w14:paraId="33803279" w14:textId="77777777" w:rsidR="006341E3" w:rsidRDefault="00CA4C26">
      <w:pPr>
        <w:pStyle w:val="Heading2"/>
        <w:numPr>
          <w:ilvl w:val="1"/>
          <w:numId w:val="2"/>
        </w:numPr>
        <w:ind w:left="0"/>
      </w:pPr>
      <w:bookmarkStart w:id="1" w:name="_heading=h.gjdgxs" w:colFirst="0" w:colLast="0"/>
      <w:bookmarkEnd w:id="1"/>
      <w:r>
        <w:t xml:space="preserve"> Refund Applicable</w:t>
      </w:r>
    </w:p>
    <w:p w14:paraId="581D1A55" w14:textId="77777777" w:rsidR="006341E3" w:rsidRDefault="00CA4C26">
      <w:pPr>
        <w:ind w:left="90"/>
      </w:pPr>
      <w:r>
        <w:t>The date applicable to the refund will be the date the request is received by UniSmarter from the student.</w:t>
      </w:r>
    </w:p>
    <w:tbl>
      <w:tblPr>
        <w:tblStyle w:val="a"/>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93"/>
        <w:gridCol w:w="3969"/>
      </w:tblGrid>
      <w:tr w:rsidR="006341E3" w14:paraId="489FE1E8" w14:textId="77777777">
        <w:tc>
          <w:tcPr>
            <w:tcW w:w="2268" w:type="dxa"/>
            <w:shd w:val="clear" w:color="auto" w:fill="16A2B1"/>
          </w:tcPr>
          <w:p w14:paraId="6F880891" w14:textId="77777777" w:rsidR="006341E3" w:rsidRDefault="006341E3">
            <w:pPr>
              <w:rPr>
                <w:color w:val="FFFFFF"/>
              </w:rPr>
            </w:pPr>
          </w:p>
          <w:p w14:paraId="50BD8CC6" w14:textId="77777777" w:rsidR="006341E3" w:rsidRDefault="00CA4C26">
            <w:pPr>
              <w:rPr>
                <w:color w:val="FFFFFF"/>
              </w:rPr>
            </w:pPr>
            <w:r>
              <w:rPr>
                <w:color w:val="FFFFFF"/>
              </w:rPr>
              <w:t>Reason for Refund</w:t>
            </w:r>
          </w:p>
        </w:tc>
        <w:tc>
          <w:tcPr>
            <w:tcW w:w="2693" w:type="dxa"/>
            <w:shd w:val="clear" w:color="auto" w:fill="16A2B1"/>
          </w:tcPr>
          <w:p w14:paraId="12CE6990" w14:textId="77777777" w:rsidR="006341E3" w:rsidRDefault="006341E3">
            <w:pPr>
              <w:rPr>
                <w:color w:val="FFFFFF"/>
              </w:rPr>
            </w:pPr>
          </w:p>
          <w:p w14:paraId="13B486CB" w14:textId="77777777" w:rsidR="006341E3" w:rsidRDefault="00CA4C26">
            <w:pPr>
              <w:jc w:val="center"/>
              <w:rPr>
                <w:color w:val="FFFFFF"/>
              </w:rPr>
            </w:pPr>
            <w:r>
              <w:rPr>
                <w:color w:val="FFFFFF"/>
              </w:rPr>
              <w:t>Date Refund Request Received</w:t>
            </w:r>
          </w:p>
        </w:tc>
        <w:tc>
          <w:tcPr>
            <w:tcW w:w="3969" w:type="dxa"/>
            <w:shd w:val="clear" w:color="auto" w:fill="16A2B1"/>
          </w:tcPr>
          <w:p w14:paraId="0FA3C62F" w14:textId="77777777" w:rsidR="006341E3" w:rsidRDefault="006341E3">
            <w:pPr>
              <w:rPr>
                <w:color w:val="FFFFFF"/>
              </w:rPr>
            </w:pPr>
          </w:p>
          <w:p w14:paraId="18F6A18A" w14:textId="77777777" w:rsidR="006341E3" w:rsidRDefault="00CA4C26">
            <w:pPr>
              <w:jc w:val="center"/>
              <w:rPr>
                <w:color w:val="FFFFFF"/>
              </w:rPr>
            </w:pPr>
            <w:r>
              <w:rPr>
                <w:color w:val="FFFFFF"/>
              </w:rPr>
              <w:t>Refund applicable</w:t>
            </w:r>
          </w:p>
        </w:tc>
      </w:tr>
      <w:tr w:rsidR="006341E3" w14:paraId="7059FA03" w14:textId="77777777">
        <w:tc>
          <w:tcPr>
            <w:tcW w:w="2268" w:type="dxa"/>
          </w:tcPr>
          <w:p w14:paraId="38AA52A7" w14:textId="77777777" w:rsidR="006341E3" w:rsidRDefault="006341E3">
            <w:pPr>
              <w:jc w:val="left"/>
              <w:rPr>
                <w:sz w:val="18"/>
                <w:szCs w:val="18"/>
              </w:rPr>
            </w:pPr>
          </w:p>
          <w:p w14:paraId="7931B48B" w14:textId="77777777" w:rsidR="006341E3" w:rsidRDefault="00CA4C26">
            <w:pPr>
              <w:jc w:val="left"/>
              <w:rPr>
                <w:sz w:val="18"/>
                <w:szCs w:val="18"/>
              </w:rPr>
            </w:pPr>
            <w:r>
              <w:rPr>
                <w:sz w:val="18"/>
                <w:szCs w:val="18"/>
              </w:rPr>
              <w:t>Offer is accepted and then commencement is deferred until a later study period.</w:t>
            </w:r>
          </w:p>
        </w:tc>
        <w:tc>
          <w:tcPr>
            <w:tcW w:w="2693" w:type="dxa"/>
          </w:tcPr>
          <w:p w14:paraId="02E83D93" w14:textId="77777777" w:rsidR="006341E3" w:rsidRDefault="006341E3">
            <w:pPr>
              <w:rPr>
                <w:sz w:val="18"/>
                <w:szCs w:val="18"/>
              </w:rPr>
            </w:pPr>
          </w:p>
          <w:p w14:paraId="228ED44C" w14:textId="77777777" w:rsidR="006341E3" w:rsidRDefault="00CA4C26">
            <w:pPr>
              <w:rPr>
                <w:sz w:val="18"/>
                <w:szCs w:val="18"/>
              </w:rPr>
            </w:pPr>
            <w:r>
              <w:rPr>
                <w:sz w:val="18"/>
                <w:szCs w:val="18"/>
              </w:rPr>
              <w:t>Prior to commencement of a study period initially nominated by the student.</w:t>
            </w:r>
          </w:p>
        </w:tc>
        <w:tc>
          <w:tcPr>
            <w:tcW w:w="3969" w:type="dxa"/>
          </w:tcPr>
          <w:p w14:paraId="5C731B50" w14:textId="77777777" w:rsidR="006341E3" w:rsidRDefault="006341E3">
            <w:pPr>
              <w:rPr>
                <w:sz w:val="18"/>
                <w:szCs w:val="18"/>
              </w:rPr>
            </w:pPr>
          </w:p>
          <w:p w14:paraId="46EBA347" w14:textId="77777777" w:rsidR="006341E3" w:rsidRDefault="00CA4C26">
            <w:pPr>
              <w:rPr>
                <w:sz w:val="18"/>
                <w:szCs w:val="18"/>
              </w:rPr>
            </w:pPr>
            <w:r>
              <w:rPr>
                <w:sz w:val="18"/>
                <w:szCs w:val="18"/>
              </w:rPr>
              <w:t>All tuition fees already paid by the student are transferred to the future study period.</w:t>
            </w:r>
          </w:p>
          <w:p w14:paraId="58E3C51D" w14:textId="77777777" w:rsidR="006341E3" w:rsidRDefault="006341E3">
            <w:pPr>
              <w:ind w:left="360"/>
              <w:rPr>
                <w:sz w:val="18"/>
                <w:szCs w:val="18"/>
              </w:rPr>
            </w:pPr>
          </w:p>
          <w:p w14:paraId="350DE013" w14:textId="77777777" w:rsidR="006341E3" w:rsidRDefault="00CA4C26">
            <w:pPr>
              <w:rPr>
                <w:sz w:val="18"/>
                <w:szCs w:val="18"/>
              </w:rPr>
            </w:pPr>
            <w:r>
              <w:rPr>
                <w:sz w:val="18"/>
                <w:szCs w:val="18"/>
              </w:rPr>
              <w:t xml:space="preserve">If after deferring commencement a student then chooses </w:t>
            </w:r>
            <w:r>
              <w:rPr>
                <w:b/>
                <w:sz w:val="18"/>
                <w:szCs w:val="18"/>
              </w:rPr>
              <w:t>not</w:t>
            </w:r>
            <w:r>
              <w:rPr>
                <w:sz w:val="18"/>
                <w:szCs w:val="18"/>
              </w:rPr>
              <w:t xml:space="preserve"> to commence, the refund applicable follows the refund policy, which is dependent upon the date the student notification is received.</w:t>
            </w:r>
          </w:p>
        </w:tc>
      </w:tr>
      <w:tr w:rsidR="006341E3" w14:paraId="540722D0" w14:textId="77777777">
        <w:tc>
          <w:tcPr>
            <w:tcW w:w="2268" w:type="dxa"/>
          </w:tcPr>
          <w:p w14:paraId="46D93F5F" w14:textId="77777777" w:rsidR="006341E3" w:rsidRDefault="006341E3">
            <w:pPr>
              <w:jc w:val="left"/>
              <w:rPr>
                <w:sz w:val="18"/>
                <w:szCs w:val="18"/>
              </w:rPr>
            </w:pPr>
          </w:p>
          <w:p w14:paraId="17610A23" w14:textId="77777777" w:rsidR="006341E3" w:rsidRDefault="00CA4C26">
            <w:pPr>
              <w:jc w:val="left"/>
              <w:rPr>
                <w:sz w:val="18"/>
                <w:szCs w:val="18"/>
              </w:rPr>
            </w:pPr>
            <w:r>
              <w:rPr>
                <w:sz w:val="18"/>
                <w:szCs w:val="18"/>
              </w:rPr>
              <w:t xml:space="preserve">Withdrawing from a </w:t>
            </w:r>
            <w:proofErr w:type="gramStart"/>
            <w:r>
              <w:rPr>
                <w:sz w:val="18"/>
                <w:szCs w:val="18"/>
              </w:rPr>
              <w:t>module / modules</w:t>
            </w:r>
            <w:proofErr w:type="gramEnd"/>
          </w:p>
        </w:tc>
        <w:tc>
          <w:tcPr>
            <w:tcW w:w="2693" w:type="dxa"/>
          </w:tcPr>
          <w:p w14:paraId="00CEA667" w14:textId="77777777" w:rsidR="006341E3" w:rsidRDefault="006341E3">
            <w:pPr>
              <w:rPr>
                <w:sz w:val="18"/>
                <w:szCs w:val="18"/>
              </w:rPr>
            </w:pPr>
          </w:p>
          <w:p w14:paraId="12D26E0D" w14:textId="77777777" w:rsidR="006341E3" w:rsidRDefault="00CA4C26">
            <w:pPr>
              <w:rPr>
                <w:sz w:val="18"/>
                <w:szCs w:val="18"/>
              </w:rPr>
            </w:pPr>
            <w:r>
              <w:rPr>
                <w:sz w:val="18"/>
                <w:szCs w:val="18"/>
              </w:rPr>
              <w:t>Before 5 pm on the Friday of the first week of the Study Period.</w:t>
            </w:r>
          </w:p>
          <w:p w14:paraId="2DD497C8" w14:textId="77777777" w:rsidR="006341E3" w:rsidRDefault="006341E3">
            <w:pPr>
              <w:rPr>
                <w:sz w:val="18"/>
                <w:szCs w:val="18"/>
              </w:rPr>
            </w:pPr>
          </w:p>
        </w:tc>
        <w:tc>
          <w:tcPr>
            <w:tcW w:w="3969" w:type="dxa"/>
          </w:tcPr>
          <w:p w14:paraId="4FCF9555" w14:textId="77777777" w:rsidR="006341E3" w:rsidRDefault="006341E3">
            <w:pPr>
              <w:rPr>
                <w:sz w:val="18"/>
                <w:szCs w:val="18"/>
              </w:rPr>
            </w:pPr>
          </w:p>
          <w:p w14:paraId="69A0AC84" w14:textId="77777777" w:rsidR="006341E3" w:rsidRDefault="00CA4C26">
            <w:pPr>
              <w:rPr>
                <w:sz w:val="18"/>
                <w:szCs w:val="18"/>
              </w:rPr>
            </w:pPr>
            <w:r>
              <w:rPr>
                <w:sz w:val="18"/>
                <w:szCs w:val="18"/>
              </w:rPr>
              <w:t>Full refund of tuition fees paid for the module / modules from which the student is withdrawing, less an administration charge of 5%.</w:t>
            </w:r>
          </w:p>
        </w:tc>
      </w:tr>
      <w:tr w:rsidR="006341E3" w14:paraId="3555EB97" w14:textId="77777777">
        <w:tc>
          <w:tcPr>
            <w:tcW w:w="2268" w:type="dxa"/>
          </w:tcPr>
          <w:p w14:paraId="30CF5DC1" w14:textId="77777777" w:rsidR="006341E3" w:rsidRDefault="006341E3">
            <w:pPr>
              <w:jc w:val="left"/>
              <w:rPr>
                <w:sz w:val="18"/>
                <w:szCs w:val="18"/>
              </w:rPr>
            </w:pPr>
          </w:p>
          <w:p w14:paraId="1E4C86F0" w14:textId="77777777" w:rsidR="006341E3" w:rsidRDefault="00CA4C26">
            <w:pPr>
              <w:jc w:val="left"/>
              <w:rPr>
                <w:sz w:val="18"/>
                <w:szCs w:val="18"/>
              </w:rPr>
            </w:pPr>
            <w:r>
              <w:rPr>
                <w:sz w:val="18"/>
                <w:szCs w:val="18"/>
              </w:rPr>
              <w:t xml:space="preserve">Withdrawal from a </w:t>
            </w:r>
            <w:proofErr w:type="gramStart"/>
            <w:r>
              <w:rPr>
                <w:sz w:val="18"/>
                <w:szCs w:val="18"/>
              </w:rPr>
              <w:t>module / modules</w:t>
            </w:r>
            <w:proofErr w:type="gramEnd"/>
          </w:p>
        </w:tc>
        <w:tc>
          <w:tcPr>
            <w:tcW w:w="2693" w:type="dxa"/>
          </w:tcPr>
          <w:p w14:paraId="78E16626" w14:textId="77777777" w:rsidR="006341E3" w:rsidRDefault="006341E3">
            <w:pPr>
              <w:rPr>
                <w:sz w:val="18"/>
                <w:szCs w:val="18"/>
              </w:rPr>
            </w:pPr>
          </w:p>
          <w:p w14:paraId="7A18AC26" w14:textId="77777777" w:rsidR="006341E3" w:rsidRDefault="006341E3">
            <w:pPr>
              <w:rPr>
                <w:sz w:val="18"/>
                <w:szCs w:val="18"/>
              </w:rPr>
            </w:pPr>
          </w:p>
          <w:p w14:paraId="1F9120D2" w14:textId="77777777" w:rsidR="006341E3" w:rsidRDefault="00CA4C26">
            <w:pPr>
              <w:rPr>
                <w:sz w:val="18"/>
                <w:szCs w:val="18"/>
              </w:rPr>
            </w:pPr>
            <w:r>
              <w:rPr>
                <w:sz w:val="18"/>
                <w:szCs w:val="18"/>
              </w:rPr>
              <w:t>After 5 pm on the Friday of the first week of the Study Period.</w:t>
            </w:r>
          </w:p>
        </w:tc>
        <w:tc>
          <w:tcPr>
            <w:tcW w:w="3969" w:type="dxa"/>
          </w:tcPr>
          <w:p w14:paraId="1DA4EB3D" w14:textId="77777777" w:rsidR="006341E3" w:rsidRDefault="006341E3">
            <w:pPr>
              <w:rPr>
                <w:sz w:val="18"/>
                <w:szCs w:val="18"/>
              </w:rPr>
            </w:pPr>
          </w:p>
          <w:p w14:paraId="5AE1398F" w14:textId="77777777" w:rsidR="006341E3" w:rsidRDefault="00CA4C26">
            <w:pPr>
              <w:rPr>
                <w:sz w:val="18"/>
                <w:szCs w:val="18"/>
              </w:rPr>
            </w:pPr>
            <w:r>
              <w:rPr>
                <w:sz w:val="18"/>
                <w:szCs w:val="18"/>
              </w:rPr>
              <w:t>No refund is applicable unless the student is deferring enrolment in a module, in which case fees paid for the module are transferred to a future study period.</w:t>
            </w:r>
          </w:p>
          <w:p w14:paraId="0D69F7D9" w14:textId="77777777" w:rsidR="006341E3" w:rsidRDefault="006341E3">
            <w:pPr>
              <w:rPr>
                <w:sz w:val="18"/>
                <w:szCs w:val="18"/>
              </w:rPr>
            </w:pPr>
          </w:p>
        </w:tc>
      </w:tr>
      <w:tr w:rsidR="006341E3" w14:paraId="5AC2C548" w14:textId="77777777">
        <w:tc>
          <w:tcPr>
            <w:tcW w:w="2268" w:type="dxa"/>
          </w:tcPr>
          <w:p w14:paraId="3C3BDCB1" w14:textId="77777777" w:rsidR="006341E3" w:rsidRDefault="006341E3">
            <w:pPr>
              <w:jc w:val="left"/>
              <w:rPr>
                <w:sz w:val="18"/>
                <w:szCs w:val="18"/>
              </w:rPr>
            </w:pPr>
          </w:p>
          <w:p w14:paraId="5F8E4E29" w14:textId="77777777" w:rsidR="006341E3" w:rsidRDefault="00CA4C26">
            <w:pPr>
              <w:jc w:val="left"/>
              <w:rPr>
                <w:sz w:val="18"/>
                <w:szCs w:val="18"/>
              </w:rPr>
            </w:pPr>
            <w:r>
              <w:rPr>
                <w:sz w:val="18"/>
                <w:szCs w:val="18"/>
              </w:rPr>
              <w:t xml:space="preserve">UniSmarter is unable to deliver the module </w:t>
            </w:r>
          </w:p>
        </w:tc>
        <w:tc>
          <w:tcPr>
            <w:tcW w:w="2693" w:type="dxa"/>
          </w:tcPr>
          <w:p w14:paraId="71596F41" w14:textId="77777777" w:rsidR="006341E3" w:rsidRDefault="006341E3">
            <w:pPr>
              <w:rPr>
                <w:sz w:val="18"/>
                <w:szCs w:val="18"/>
              </w:rPr>
            </w:pPr>
          </w:p>
          <w:p w14:paraId="0F0E1431" w14:textId="77777777" w:rsidR="006341E3" w:rsidRDefault="00CA4C26">
            <w:pPr>
              <w:rPr>
                <w:sz w:val="18"/>
                <w:szCs w:val="18"/>
              </w:rPr>
            </w:pPr>
            <w:r>
              <w:rPr>
                <w:sz w:val="18"/>
                <w:szCs w:val="18"/>
              </w:rPr>
              <w:t>Not applicable</w:t>
            </w:r>
          </w:p>
          <w:p w14:paraId="2A294DC8" w14:textId="77777777" w:rsidR="006341E3" w:rsidRDefault="006341E3">
            <w:pPr>
              <w:rPr>
                <w:sz w:val="18"/>
                <w:szCs w:val="18"/>
              </w:rPr>
            </w:pPr>
          </w:p>
        </w:tc>
        <w:tc>
          <w:tcPr>
            <w:tcW w:w="3969" w:type="dxa"/>
          </w:tcPr>
          <w:p w14:paraId="0D99AB0E" w14:textId="77777777" w:rsidR="006341E3" w:rsidRDefault="006341E3">
            <w:pPr>
              <w:rPr>
                <w:sz w:val="18"/>
                <w:szCs w:val="18"/>
              </w:rPr>
            </w:pPr>
          </w:p>
          <w:p w14:paraId="5B43F0CE" w14:textId="77777777" w:rsidR="006341E3" w:rsidRDefault="00CA4C26">
            <w:pPr>
              <w:rPr>
                <w:sz w:val="18"/>
                <w:szCs w:val="18"/>
              </w:rPr>
            </w:pPr>
            <w:r>
              <w:rPr>
                <w:sz w:val="18"/>
                <w:szCs w:val="18"/>
              </w:rPr>
              <w:t>100% of tuition fees paid by the student are refunded.</w:t>
            </w:r>
          </w:p>
          <w:p w14:paraId="5879FBEE" w14:textId="77777777" w:rsidR="006341E3" w:rsidRDefault="006341E3">
            <w:pPr>
              <w:rPr>
                <w:sz w:val="18"/>
                <w:szCs w:val="18"/>
              </w:rPr>
            </w:pPr>
          </w:p>
        </w:tc>
      </w:tr>
      <w:tr w:rsidR="006341E3" w14:paraId="4C4B495C" w14:textId="77777777">
        <w:tc>
          <w:tcPr>
            <w:tcW w:w="2268" w:type="dxa"/>
          </w:tcPr>
          <w:p w14:paraId="7D17439A" w14:textId="77777777" w:rsidR="006341E3" w:rsidRDefault="006341E3">
            <w:pPr>
              <w:jc w:val="left"/>
              <w:rPr>
                <w:sz w:val="18"/>
                <w:szCs w:val="18"/>
              </w:rPr>
            </w:pPr>
          </w:p>
          <w:p w14:paraId="00897318" w14:textId="77777777" w:rsidR="006341E3" w:rsidRDefault="00CA4C26">
            <w:pPr>
              <w:jc w:val="left"/>
              <w:rPr>
                <w:sz w:val="18"/>
                <w:szCs w:val="18"/>
              </w:rPr>
            </w:pPr>
            <w:r>
              <w:rPr>
                <w:sz w:val="18"/>
                <w:szCs w:val="18"/>
              </w:rPr>
              <w:t>UniSmarter cancels the student’s enrolment for Student Misconduct</w:t>
            </w:r>
          </w:p>
          <w:p w14:paraId="341114D8" w14:textId="77777777" w:rsidR="006341E3" w:rsidRDefault="006341E3">
            <w:pPr>
              <w:jc w:val="left"/>
              <w:rPr>
                <w:sz w:val="18"/>
                <w:szCs w:val="18"/>
              </w:rPr>
            </w:pPr>
          </w:p>
        </w:tc>
        <w:tc>
          <w:tcPr>
            <w:tcW w:w="2693" w:type="dxa"/>
          </w:tcPr>
          <w:p w14:paraId="0E5973FF" w14:textId="77777777" w:rsidR="006341E3" w:rsidRDefault="006341E3">
            <w:pPr>
              <w:rPr>
                <w:sz w:val="18"/>
                <w:szCs w:val="18"/>
              </w:rPr>
            </w:pPr>
          </w:p>
          <w:p w14:paraId="18C3AE3B" w14:textId="77777777" w:rsidR="006341E3" w:rsidRDefault="00CA4C26">
            <w:pPr>
              <w:rPr>
                <w:sz w:val="18"/>
                <w:szCs w:val="18"/>
              </w:rPr>
            </w:pPr>
            <w:r>
              <w:rPr>
                <w:sz w:val="18"/>
                <w:szCs w:val="18"/>
              </w:rPr>
              <w:t>Not applicable.</w:t>
            </w:r>
          </w:p>
        </w:tc>
        <w:tc>
          <w:tcPr>
            <w:tcW w:w="3969" w:type="dxa"/>
          </w:tcPr>
          <w:p w14:paraId="25FFCC30" w14:textId="77777777" w:rsidR="006341E3" w:rsidRDefault="006341E3">
            <w:pPr>
              <w:rPr>
                <w:sz w:val="18"/>
                <w:szCs w:val="18"/>
              </w:rPr>
            </w:pPr>
          </w:p>
          <w:p w14:paraId="614918DA" w14:textId="77777777" w:rsidR="006341E3" w:rsidRDefault="00CA4C26">
            <w:pPr>
              <w:rPr>
                <w:sz w:val="18"/>
                <w:szCs w:val="18"/>
              </w:rPr>
            </w:pPr>
            <w:r>
              <w:rPr>
                <w:sz w:val="18"/>
                <w:szCs w:val="18"/>
              </w:rPr>
              <w:t>No tuition fees are refunded.  A 100% cancellation charge is applicable.</w:t>
            </w:r>
          </w:p>
        </w:tc>
      </w:tr>
    </w:tbl>
    <w:p w14:paraId="7F4A2EA0" w14:textId="5BE3E860" w:rsidR="006341E3" w:rsidRDefault="006341E3"/>
    <w:p w14:paraId="02CBC883" w14:textId="32E94335" w:rsidR="00AD21AC" w:rsidRDefault="00AD21AC" w:rsidP="00AD21AC">
      <w:r>
        <w:lastRenderedPageBreak/>
        <w:t xml:space="preserve">Besides the above, UniSmarter will offer a refund of </w:t>
      </w:r>
      <w:r w:rsidR="008B074F">
        <w:t>10</w:t>
      </w:r>
      <w:r>
        <w:t>0% of tuition fees if the student’s visa to their preferred destination is rejected under the following conditions:</w:t>
      </w:r>
    </w:p>
    <w:p w14:paraId="5ED80C59" w14:textId="77777777" w:rsidR="00AD21AC" w:rsidRDefault="00AD21AC" w:rsidP="00AD21AC">
      <w:pPr>
        <w:pStyle w:val="ListParagraph"/>
        <w:numPr>
          <w:ilvl w:val="0"/>
          <w:numId w:val="6"/>
        </w:numPr>
      </w:pPr>
      <w:r>
        <w:t>The student is enrolled for at least four modules of UniSmarter;</w:t>
      </w:r>
    </w:p>
    <w:p w14:paraId="215EAC78" w14:textId="77777777" w:rsidR="00AD21AC" w:rsidRPr="00F42B05" w:rsidRDefault="00AD21AC" w:rsidP="00AD21AC">
      <w:pPr>
        <w:pStyle w:val="ListParagraph"/>
        <w:numPr>
          <w:ilvl w:val="0"/>
          <w:numId w:val="6"/>
        </w:numPr>
      </w:pPr>
      <w:r w:rsidRPr="00F42B05">
        <w:t>The student clears each module with at least a Pass score</w:t>
      </w:r>
      <w:r>
        <w:t>;</w:t>
      </w:r>
    </w:p>
    <w:p w14:paraId="480B44EB" w14:textId="5A452DB9" w:rsidR="00AD21AC" w:rsidRPr="007C2BF0" w:rsidRDefault="00AD21AC" w:rsidP="00AD21AC">
      <w:pPr>
        <w:pStyle w:val="ListParagraph"/>
        <w:numPr>
          <w:ilvl w:val="0"/>
          <w:numId w:val="6"/>
        </w:numPr>
      </w:pPr>
      <w:r w:rsidRPr="007C2BF0">
        <w:t>The visa rejection is NOT for submission of fraudulent</w:t>
      </w:r>
      <w:r w:rsidR="00616ACC" w:rsidRPr="007C2BF0">
        <w:t xml:space="preserve">, </w:t>
      </w:r>
      <w:r w:rsidR="009331D3" w:rsidRPr="007C2BF0">
        <w:t>incorrect</w:t>
      </w:r>
      <w:r w:rsidRPr="007C2BF0">
        <w:t xml:space="preserve"> </w:t>
      </w:r>
      <w:r w:rsidR="00616ACC" w:rsidRPr="007C2BF0">
        <w:t xml:space="preserve">or inadequate </w:t>
      </w:r>
      <w:r w:rsidRPr="007C2BF0">
        <w:t>documents</w:t>
      </w:r>
      <w:r w:rsidR="006848D6" w:rsidRPr="007C2BF0">
        <w:t xml:space="preserve"> </w:t>
      </w:r>
      <w:r w:rsidRPr="007C2BF0">
        <w:t>/</w:t>
      </w:r>
      <w:r w:rsidR="006848D6" w:rsidRPr="007C2BF0">
        <w:t xml:space="preserve"> </w:t>
      </w:r>
      <w:r w:rsidRPr="007C2BF0">
        <w:t>information;</w:t>
      </w:r>
    </w:p>
    <w:p w14:paraId="5A2395D7" w14:textId="6D93B296" w:rsidR="00722ECE" w:rsidRPr="007C2BF0" w:rsidRDefault="00722ECE" w:rsidP="00722ECE">
      <w:pPr>
        <w:pStyle w:val="ListParagraph"/>
        <w:numPr>
          <w:ilvl w:val="0"/>
          <w:numId w:val="6"/>
        </w:numPr>
      </w:pPr>
      <w:r w:rsidRPr="007C2BF0">
        <w:t>The visa application has been submitted within 3 months of completing the program (from the date of the grade release of the last module);</w:t>
      </w:r>
    </w:p>
    <w:p w14:paraId="735FD697" w14:textId="77777777" w:rsidR="00AD21AC" w:rsidRPr="007C2BF0" w:rsidRDefault="00AD21AC" w:rsidP="00AD21AC">
      <w:pPr>
        <w:pStyle w:val="ListParagraph"/>
        <w:numPr>
          <w:ilvl w:val="0"/>
          <w:numId w:val="6"/>
        </w:numPr>
      </w:pPr>
      <w:r w:rsidRPr="007C2BF0">
        <w:t>The student has elected to not go to a UniSmarter partner institution in another destination country (including India); and</w:t>
      </w:r>
    </w:p>
    <w:p w14:paraId="79EAE0F8" w14:textId="184F9DDB" w:rsidR="006848D6" w:rsidRPr="007C2BF0" w:rsidRDefault="00AD21AC" w:rsidP="006848D6">
      <w:pPr>
        <w:pStyle w:val="ListParagraph"/>
        <w:numPr>
          <w:ilvl w:val="0"/>
          <w:numId w:val="6"/>
        </w:numPr>
      </w:pPr>
      <w:r w:rsidRPr="007C2BF0">
        <w:t>The student or their authorized agent applies for the refund, along with the evidence of rejection, within 2 weeks of receiving the visa rejection letter.</w:t>
      </w:r>
    </w:p>
    <w:p w14:paraId="416791A2" w14:textId="77777777" w:rsidR="006848D6" w:rsidRPr="007C2BF0" w:rsidRDefault="006848D6" w:rsidP="00F05EBF"/>
    <w:p w14:paraId="4DE0025A" w14:textId="03A5B50E" w:rsidR="006848D6" w:rsidRPr="007C2BF0" w:rsidRDefault="006848D6" w:rsidP="006848D6">
      <w:r w:rsidRPr="007C2BF0">
        <w:t>UniSmarter will also offer a 100% refund of the tuition fees on a case-by-case basis if the student is rejected at the Navitas GTE / CAS process stage. The student would need to meet at least the following conditions:</w:t>
      </w:r>
    </w:p>
    <w:p w14:paraId="4F34E240" w14:textId="77777777" w:rsidR="006848D6" w:rsidRPr="007C2BF0" w:rsidRDefault="006848D6" w:rsidP="006848D6">
      <w:pPr>
        <w:pStyle w:val="ListParagraph"/>
        <w:numPr>
          <w:ilvl w:val="0"/>
          <w:numId w:val="6"/>
        </w:numPr>
      </w:pPr>
      <w:r w:rsidRPr="007C2BF0">
        <w:t>The student is enrolled for at least four modules of UniSmarter;</w:t>
      </w:r>
    </w:p>
    <w:p w14:paraId="03E2B4CE" w14:textId="47D9EA5E" w:rsidR="006848D6" w:rsidRPr="007C2BF0" w:rsidRDefault="006848D6" w:rsidP="00EA1CDC">
      <w:pPr>
        <w:pStyle w:val="ListParagraph"/>
        <w:numPr>
          <w:ilvl w:val="0"/>
          <w:numId w:val="6"/>
        </w:numPr>
      </w:pPr>
      <w:r w:rsidRPr="007C2BF0">
        <w:t>The student clears each module with at least a Pass score;</w:t>
      </w:r>
      <w:r w:rsidR="00116DD5" w:rsidRPr="007C2BF0">
        <w:t xml:space="preserve"> </w:t>
      </w:r>
    </w:p>
    <w:p w14:paraId="0E8DD583" w14:textId="77777777" w:rsidR="00F762B4" w:rsidRPr="007C2BF0" w:rsidRDefault="00F762B4" w:rsidP="00F762B4">
      <w:pPr>
        <w:pStyle w:val="ListParagraph"/>
        <w:numPr>
          <w:ilvl w:val="0"/>
          <w:numId w:val="6"/>
        </w:numPr>
      </w:pPr>
      <w:r w:rsidRPr="007C2BF0">
        <w:t>The student has elected to not go to a UniSmarter partner institution in another destination country (including India); and</w:t>
      </w:r>
    </w:p>
    <w:p w14:paraId="34F8F893" w14:textId="513B5125" w:rsidR="006848D6" w:rsidRPr="007C2BF0" w:rsidRDefault="006848D6" w:rsidP="0053344D">
      <w:pPr>
        <w:pStyle w:val="ListParagraph"/>
        <w:numPr>
          <w:ilvl w:val="0"/>
          <w:numId w:val="6"/>
        </w:numPr>
      </w:pPr>
      <w:r w:rsidRPr="007C2BF0">
        <w:t xml:space="preserve">The student or their authorized agent applies for the refund, along with the evidence of rejection, within 2 weeks of receiving the rejection letter from </w:t>
      </w:r>
      <w:r w:rsidR="00C16DEC" w:rsidRPr="007C2BF0">
        <w:t xml:space="preserve">the </w:t>
      </w:r>
      <w:r w:rsidR="00116DD5" w:rsidRPr="007C2BF0">
        <w:t>overseas college</w:t>
      </w:r>
      <w:r w:rsidRPr="007C2BF0">
        <w:t>.</w:t>
      </w:r>
    </w:p>
    <w:p w14:paraId="5BEBB905" w14:textId="77777777" w:rsidR="006341E3" w:rsidRPr="007C2BF0" w:rsidRDefault="00CA4C26">
      <w:pPr>
        <w:pStyle w:val="Heading2"/>
        <w:numPr>
          <w:ilvl w:val="1"/>
          <w:numId w:val="2"/>
        </w:numPr>
        <w:ind w:left="0"/>
      </w:pPr>
      <w:r w:rsidRPr="007C2BF0">
        <w:t>Payment of Refunds</w:t>
      </w:r>
    </w:p>
    <w:p w14:paraId="7D25C942" w14:textId="77777777" w:rsidR="006341E3" w:rsidRDefault="00CA4C26">
      <w:r>
        <w:t>All refunds are paid in Indian Rupees. The refund will be paid to the student unless UniSmarter is given contrary advice in writing by the student.</w:t>
      </w:r>
    </w:p>
    <w:p w14:paraId="2DA6DE04" w14:textId="77777777" w:rsidR="006341E3" w:rsidRDefault="00CA4C26">
      <w:pPr>
        <w:pStyle w:val="Heading2"/>
        <w:numPr>
          <w:ilvl w:val="1"/>
          <w:numId w:val="2"/>
        </w:numPr>
        <w:ind w:left="0"/>
      </w:pPr>
      <w:bookmarkStart w:id="2" w:name="_heading=h.30j0zll" w:colFirst="0" w:colLast="0"/>
      <w:bookmarkEnd w:id="2"/>
      <w:r>
        <w:t>Exceptional circumstances</w:t>
      </w:r>
    </w:p>
    <w:p w14:paraId="75A00ECD" w14:textId="77777777" w:rsidR="006341E3" w:rsidRDefault="00CA4C26">
      <w:r>
        <w:t>Any student whose cancellation of enrolment for a module/s was due to exceptional circumstances can request that the cancellation be waived or reduced.  Requests must be made in writing within 6 months of the Refund Request being received by UniSmarter and must be accompanied by documentary evidence.</w:t>
      </w:r>
    </w:p>
    <w:p w14:paraId="1864B607" w14:textId="77777777" w:rsidR="006341E3" w:rsidRDefault="00CA4C26">
      <w:pPr>
        <w:pStyle w:val="Heading1"/>
        <w:numPr>
          <w:ilvl w:val="0"/>
          <w:numId w:val="2"/>
        </w:numPr>
        <w:ind w:left="-90"/>
      </w:pPr>
      <w:r>
        <w:t>Related Documents</w:t>
      </w:r>
    </w:p>
    <w:p w14:paraId="6AA7DF37" w14:textId="77777777" w:rsidR="006341E3" w:rsidRDefault="00CA4C26">
      <w:pPr>
        <w:numPr>
          <w:ilvl w:val="0"/>
          <w:numId w:val="3"/>
        </w:numPr>
        <w:ind w:left="270"/>
        <w:rPr>
          <w:b/>
        </w:rPr>
      </w:pPr>
      <w:r>
        <w:t>Final Examination policy</w:t>
      </w:r>
    </w:p>
    <w:p w14:paraId="452B356B" w14:textId="77777777" w:rsidR="006341E3" w:rsidRDefault="00CA4C26">
      <w:pPr>
        <w:numPr>
          <w:ilvl w:val="0"/>
          <w:numId w:val="3"/>
        </w:numPr>
        <w:ind w:left="270"/>
      </w:pPr>
      <w:r>
        <w:t>Special Consideration policy</w:t>
      </w:r>
    </w:p>
    <w:p w14:paraId="25AD2E0D" w14:textId="77777777" w:rsidR="006341E3" w:rsidRDefault="00CA4C26">
      <w:pPr>
        <w:numPr>
          <w:ilvl w:val="0"/>
          <w:numId w:val="3"/>
        </w:numPr>
        <w:ind w:left="270"/>
      </w:pPr>
      <w:r>
        <w:t>Letter of Offer</w:t>
      </w:r>
    </w:p>
    <w:p w14:paraId="7FCC7CF0" w14:textId="6700C0C4" w:rsidR="00367265" w:rsidRDefault="00367265">
      <w:pPr>
        <w:pBdr>
          <w:top w:val="none" w:sz="0" w:space="0" w:color="auto"/>
          <w:left w:val="none" w:sz="0" w:space="0" w:color="auto"/>
          <w:bottom w:val="none" w:sz="0" w:space="0" w:color="auto"/>
          <w:right w:val="none" w:sz="0" w:space="0" w:color="auto"/>
          <w:between w:val="none" w:sz="0" w:space="0" w:color="auto"/>
        </w:pBdr>
      </w:pPr>
      <w:r>
        <w:br w:type="page"/>
      </w:r>
    </w:p>
    <w:p w14:paraId="22F00BA0" w14:textId="77777777" w:rsidR="006341E3" w:rsidRDefault="006341E3"/>
    <w:p w14:paraId="62E209AF" w14:textId="77777777" w:rsidR="006341E3" w:rsidRDefault="00CA4C26">
      <w:pPr>
        <w:ind w:right="5"/>
      </w:pPr>
      <w:r>
        <w:rPr>
          <w:b/>
        </w:rPr>
        <w:t>Amendment History</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1143"/>
        <w:gridCol w:w="5619"/>
      </w:tblGrid>
      <w:tr w:rsidR="006341E3" w14:paraId="55FA277A" w14:textId="77777777">
        <w:tc>
          <w:tcPr>
            <w:tcW w:w="3397" w:type="dxa"/>
            <w:gridSpan w:val="2"/>
            <w:shd w:val="clear" w:color="auto" w:fill="16A2B1"/>
          </w:tcPr>
          <w:p w14:paraId="149A5A37" w14:textId="77777777" w:rsidR="006341E3" w:rsidRDefault="00CA4C26">
            <w:pPr>
              <w:ind w:right="5"/>
              <w:rPr>
                <w:b/>
                <w:color w:val="FFFFFF"/>
              </w:rPr>
            </w:pPr>
            <w:r>
              <w:rPr>
                <w:b/>
                <w:color w:val="FFFFFF"/>
              </w:rPr>
              <w:t>Department:</w:t>
            </w:r>
          </w:p>
        </w:tc>
        <w:tc>
          <w:tcPr>
            <w:tcW w:w="5619" w:type="dxa"/>
          </w:tcPr>
          <w:p w14:paraId="0083A914" w14:textId="77777777" w:rsidR="006341E3" w:rsidRDefault="00CA4C26">
            <w:pPr>
              <w:ind w:right="5"/>
            </w:pPr>
            <w:r>
              <w:t>Academic Affairs</w:t>
            </w:r>
          </w:p>
        </w:tc>
      </w:tr>
      <w:tr w:rsidR="006341E3" w14:paraId="1687B91C" w14:textId="77777777">
        <w:tc>
          <w:tcPr>
            <w:tcW w:w="3397" w:type="dxa"/>
            <w:gridSpan w:val="2"/>
            <w:shd w:val="clear" w:color="auto" w:fill="16A2B1"/>
          </w:tcPr>
          <w:p w14:paraId="78C94A89" w14:textId="77777777" w:rsidR="006341E3" w:rsidRDefault="00CA4C26">
            <w:pPr>
              <w:ind w:right="5"/>
              <w:rPr>
                <w:b/>
                <w:color w:val="FFFFFF"/>
              </w:rPr>
            </w:pPr>
            <w:r>
              <w:rPr>
                <w:b/>
                <w:color w:val="FFFFFF"/>
              </w:rPr>
              <w:t>Approval Authority:</w:t>
            </w:r>
          </w:p>
        </w:tc>
        <w:tc>
          <w:tcPr>
            <w:tcW w:w="5619" w:type="dxa"/>
          </w:tcPr>
          <w:p w14:paraId="5D3D5F8E" w14:textId="77777777" w:rsidR="006341E3" w:rsidRDefault="006341E3">
            <w:pPr>
              <w:ind w:right="5"/>
            </w:pPr>
          </w:p>
        </w:tc>
      </w:tr>
      <w:tr w:rsidR="006341E3" w14:paraId="6F6611C4" w14:textId="77777777">
        <w:tc>
          <w:tcPr>
            <w:tcW w:w="3397" w:type="dxa"/>
            <w:gridSpan w:val="2"/>
            <w:shd w:val="clear" w:color="auto" w:fill="16A2B1"/>
          </w:tcPr>
          <w:p w14:paraId="6FD51793" w14:textId="77777777" w:rsidR="006341E3" w:rsidRDefault="00CA4C26">
            <w:pPr>
              <w:ind w:right="5"/>
              <w:rPr>
                <w:b/>
                <w:color w:val="FFFFFF"/>
              </w:rPr>
            </w:pPr>
            <w:r>
              <w:rPr>
                <w:b/>
                <w:color w:val="FFFFFF"/>
              </w:rPr>
              <w:t>Initial Approval Date:</w:t>
            </w:r>
          </w:p>
        </w:tc>
        <w:tc>
          <w:tcPr>
            <w:tcW w:w="5619" w:type="dxa"/>
          </w:tcPr>
          <w:p w14:paraId="5CF64947" w14:textId="77777777" w:rsidR="006341E3" w:rsidRDefault="00CA4C26">
            <w:pPr>
              <w:ind w:right="5"/>
            </w:pPr>
            <w:bookmarkStart w:id="3" w:name="_heading=h.1fob9te" w:colFirst="0" w:colLast="0"/>
            <w:bookmarkEnd w:id="3"/>
            <w:r>
              <w:t>7</w:t>
            </w:r>
            <w:r>
              <w:rPr>
                <w:vertAlign w:val="superscript"/>
              </w:rPr>
              <w:t>th</w:t>
            </w:r>
            <w:r>
              <w:t xml:space="preserve"> July 2020</w:t>
            </w:r>
          </w:p>
        </w:tc>
      </w:tr>
      <w:tr w:rsidR="006341E3" w14:paraId="12F721BA" w14:textId="77777777">
        <w:tc>
          <w:tcPr>
            <w:tcW w:w="3397" w:type="dxa"/>
            <w:gridSpan w:val="2"/>
            <w:shd w:val="clear" w:color="auto" w:fill="16A2B1"/>
          </w:tcPr>
          <w:p w14:paraId="39C47866" w14:textId="77777777" w:rsidR="006341E3" w:rsidRDefault="00CA4C26">
            <w:pPr>
              <w:ind w:right="5"/>
              <w:rPr>
                <w:b/>
                <w:color w:val="FFFFFF"/>
              </w:rPr>
            </w:pPr>
            <w:r>
              <w:rPr>
                <w:b/>
                <w:color w:val="FFFFFF"/>
              </w:rPr>
              <w:t>Date for Next review:</w:t>
            </w:r>
          </w:p>
        </w:tc>
        <w:tc>
          <w:tcPr>
            <w:tcW w:w="5619" w:type="dxa"/>
          </w:tcPr>
          <w:p w14:paraId="414BC5FC" w14:textId="77777777" w:rsidR="006341E3" w:rsidRDefault="006341E3">
            <w:pPr>
              <w:ind w:right="5"/>
            </w:pPr>
          </w:p>
        </w:tc>
      </w:tr>
      <w:tr w:rsidR="006341E3" w14:paraId="75882814" w14:textId="77777777">
        <w:tc>
          <w:tcPr>
            <w:tcW w:w="9016" w:type="dxa"/>
            <w:gridSpan w:val="3"/>
          </w:tcPr>
          <w:p w14:paraId="2DD5937F" w14:textId="77777777" w:rsidR="006341E3" w:rsidRDefault="006341E3">
            <w:pPr>
              <w:ind w:right="5"/>
            </w:pPr>
          </w:p>
        </w:tc>
      </w:tr>
      <w:tr w:rsidR="006341E3" w14:paraId="06A98FDB" w14:textId="77777777">
        <w:trPr>
          <w:trHeight w:val="315"/>
        </w:trPr>
        <w:tc>
          <w:tcPr>
            <w:tcW w:w="2254" w:type="dxa"/>
            <w:tcBorders>
              <w:top w:val="single" w:sz="8" w:space="0" w:color="000000"/>
              <w:left w:val="single" w:sz="8" w:space="0" w:color="000000"/>
              <w:bottom w:val="single" w:sz="8" w:space="0" w:color="000000"/>
              <w:right w:val="single" w:sz="8" w:space="0" w:color="000000"/>
            </w:tcBorders>
            <w:shd w:val="clear" w:color="auto" w:fill="16A2B1"/>
            <w:tcMar>
              <w:top w:w="100" w:type="dxa"/>
              <w:left w:w="100" w:type="dxa"/>
              <w:bottom w:w="100" w:type="dxa"/>
              <w:right w:w="100" w:type="dxa"/>
            </w:tcMar>
          </w:tcPr>
          <w:p w14:paraId="03768945" w14:textId="77777777" w:rsidR="006341E3" w:rsidRDefault="00CA4C26">
            <w:pPr>
              <w:spacing w:line="276" w:lineRule="auto"/>
              <w:rPr>
                <w:b/>
                <w:color w:val="FFFFFF"/>
              </w:rPr>
            </w:pPr>
            <w:r>
              <w:rPr>
                <w:b/>
                <w:color w:val="FFFFFF"/>
              </w:rPr>
              <w:t>Revision Date</w:t>
            </w:r>
          </w:p>
        </w:tc>
        <w:tc>
          <w:tcPr>
            <w:tcW w:w="1143" w:type="dxa"/>
            <w:tcBorders>
              <w:top w:val="single" w:sz="8" w:space="0" w:color="000000"/>
              <w:left w:val="nil"/>
              <w:bottom w:val="single" w:sz="8" w:space="0" w:color="000000"/>
              <w:right w:val="single" w:sz="8" w:space="0" w:color="000000"/>
            </w:tcBorders>
            <w:shd w:val="clear" w:color="auto" w:fill="16A2B1"/>
            <w:tcMar>
              <w:top w:w="100" w:type="dxa"/>
              <w:left w:w="100" w:type="dxa"/>
              <w:bottom w:w="100" w:type="dxa"/>
              <w:right w:w="100" w:type="dxa"/>
            </w:tcMar>
          </w:tcPr>
          <w:p w14:paraId="757CD53C" w14:textId="77777777" w:rsidR="006341E3" w:rsidRDefault="00CA4C26">
            <w:pPr>
              <w:spacing w:line="276" w:lineRule="auto"/>
              <w:rPr>
                <w:b/>
                <w:color w:val="FFFFFF"/>
              </w:rPr>
            </w:pPr>
            <w:r>
              <w:rPr>
                <w:b/>
                <w:color w:val="FFFFFF"/>
              </w:rPr>
              <w:t>Version</w:t>
            </w:r>
          </w:p>
        </w:tc>
        <w:tc>
          <w:tcPr>
            <w:tcW w:w="5619" w:type="dxa"/>
            <w:tcBorders>
              <w:top w:val="single" w:sz="8" w:space="0" w:color="000000"/>
              <w:left w:val="nil"/>
              <w:bottom w:val="single" w:sz="8" w:space="0" w:color="000000"/>
              <w:right w:val="single" w:sz="8" w:space="0" w:color="000000"/>
            </w:tcBorders>
            <w:shd w:val="clear" w:color="auto" w:fill="16A2B1"/>
            <w:tcMar>
              <w:top w:w="100" w:type="dxa"/>
              <w:left w:w="100" w:type="dxa"/>
              <w:bottom w:w="100" w:type="dxa"/>
              <w:right w:w="100" w:type="dxa"/>
            </w:tcMar>
          </w:tcPr>
          <w:p w14:paraId="510D4F57" w14:textId="77777777" w:rsidR="006341E3" w:rsidRDefault="00CA4C26">
            <w:pPr>
              <w:rPr>
                <w:b/>
                <w:color w:val="FFFFFF"/>
              </w:rPr>
            </w:pPr>
            <w:r>
              <w:rPr>
                <w:b/>
                <w:color w:val="FFFFFF"/>
              </w:rPr>
              <w:t>Summary of changes</w:t>
            </w:r>
          </w:p>
        </w:tc>
      </w:tr>
      <w:tr w:rsidR="006341E3" w14:paraId="3C45F74C" w14:textId="77777777">
        <w:tc>
          <w:tcPr>
            <w:tcW w:w="2254" w:type="dxa"/>
          </w:tcPr>
          <w:p w14:paraId="32007078" w14:textId="77777777" w:rsidR="006341E3" w:rsidRDefault="00CA4C26">
            <w:pPr>
              <w:ind w:right="5"/>
            </w:pPr>
            <w:r>
              <w:t>07/07/2020</w:t>
            </w:r>
          </w:p>
        </w:tc>
        <w:tc>
          <w:tcPr>
            <w:tcW w:w="1143" w:type="dxa"/>
          </w:tcPr>
          <w:p w14:paraId="55E77001" w14:textId="77777777" w:rsidR="006341E3" w:rsidRDefault="00CA4C26">
            <w:pPr>
              <w:ind w:right="5"/>
            </w:pPr>
            <w:r>
              <w:t>1</w:t>
            </w:r>
          </w:p>
        </w:tc>
        <w:tc>
          <w:tcPr>
            <w:tcW w:w="5619" w:type="dxa"/>
          </w:tcPr>
          <w:p w14:paraId="2AC0A9FC" w14:textId="77777777" w:rsidR="006341E3" w:rsidRDefault="00CA4C26">
            <w:pPr>
              <w:ind w:right="5"/>
            </w:pPr>
            <w:r>
              <w:t>Original</w:t>
            </w:r>
          </w:p>
        </w:tc>
      </w:tr>
      <w:tr w:rsidR="006341E3" w14:paraId="715593E8" w14:textId="77777777">
        <w:tc>
          <w:tcPr>
            <w:tcW w:w="2254" w:type="dxa"/>
          </w:tcPr>
          <w:p w14:paraId="632CF4C6" w14:textId="77777777" w:rsidR="006341E3" w:rsidRDefault="00CA4C26">
            <w:pPr>
              <w:ind w:right="5"/>
            </w:pPr>
            <w:r>
              <w:t>20/07/2020</w:t>
            </w:r>
          </w:p>
        </w:tc>
        <w:tc>
          <w:tcPr>
            <w:tcW w:w="1143" w:type="dxa"/>
          </w:tcPr>
          <w:p w14:paraId="4EB74BC9" w14:textId="77777777" w:rsidR="006341E3" w:rsidRDefault="00CA4C26">
            <w:pPr>
              <w:ind w:right="5"/>
            </w:pPr>
            <w:r>
              <w:t>1.1</w:t>
            </w:r>
          </w:p>
        </w:tc>
        <w:tc>
          <w:tcPr>
            <w:tcW w:w="5619" w:type="dxa"/>
          </w:tcPr>
          <w:p w14:paraId="68E34186" w14:textId="77777777" w:rsidR="006341E3" w:rsidRDefault="00CA4C26">
            <w:pPr>
              <w:ind w:right="5"/>
            </w:pPr>
            <w:r>
              <w:t>Added section 4 - Other fees or charges</w:t>
            </w:r>
          </w:p>
        </w:tc>
      </w:tr>
      <w:tr w:rsidR="00367265" w14:paraId="005BA643" w14:textId="77777777">
        <w:tc>
          <w:tcPr>
            <w:tcW w:w="2254" w:type="dxa"/>
          </w:tcPr>
          <w:p w14:paraId="7B183080" w14:textId="691231AF" w:rsidR="00367265" w:rsidRDefault="00367265" w:rsidP="00367265">
            <w:pPr>
              <w:ind w:right="5"/>
            </w:pPr>
            <w:r>
              <w:t>27/10/2020</w:t>
            </w:r>
          </w:p>
        </w:tc>
        <w:tc>
          <w:tcPr>
            <w:tcW w:w="1143" w:type="dxa"/>
          </w:tcPr>
          <w:p w14:paraId="6A099D34" w14:textId="2766F9FB" w:rsidR="00367265" w:rsidRDefault="00367265" w:rsidP="00367265">
            <w:pPr>
              <w:ind w:right="5"/>
            </w:pPr>
            <w:r>
              <w:t>1.2</w:t>
            </w:r>
          </w:p>
        </w:tc>
        <w:tc>
          <w:tcPr>
            <w:tcW w:w="5619" w:type="dxa"/>
          </w:tcPr>
          <w:p w14:paraId="0DE0B3BA" w14:textId="0A506E5C" w:rsidR="00367265" w:rsidRDefault="00367265" w:rsidP="00367265">
            <w:pPr>
              <w:ind w:right="5"/>
            </w:pPr>
            <w:r>
              <w:t>Added policy for refund in case of visa rejection</w:t>
            </w:r>
          </w:p>
        </w:tc>
      </w:tr>
      <w:tr w:rsidR="00F362E7" w14:paraId="6828EECF" w14:textId="77777777">
        <w:tc>
          <w:tcPr>
            <w:tcW w:w="2254" w:type="dxa"/>
          </w:tcPr>
          <w:p w14:paraId="57061AF3" w14:textId="7BDD5015" w:rsidR="00F362E7" w:rsidRDefault="00F362E7" w:rsidP="00F362E7">
            <w:pPr>
              <w:ind w:right="5"/>
            </w:pPr>
            <w:r>
              <w:t>25/03/2021</w:t>
            </w:r>
          </w:p>
        </w:tc>
        <w:tc>
          <w:tcPr>
            <w:tcW w:w="1143" w:type="dxa"/>
          </w:tcPr>
          <w:p w14:paraId="2044C87A" w14:textId="266F2C46" w:rsidR="00F362E7" w:rsidRDefault="00F362E7" w:rsidP="00F362E7">
            <w:pPr>
              <w:ind w:right="5"/>
            </w:pPr>
            <w:r>
              <w:t>1.3</w:t>
            </w:r>
          </w:p>
        </w:tc>
        <w:tc>
          <w:tcPr>
            <w:tcW w:w="5619" w:type="dxa"/>
          </w:tcPr>
          <w:p w14:paraId="09CBBD46" w14:textId="16D7989E" w:rsidR="00F362E7" w:rsidRDefault="00F362E7" w:rsidP="00F362E7">
            <w:pPr>
              <w:ind w:right="5"/>
            </w:pPr>
            <w:r>
              <w:t>Amended policy for refund in case of visa rejection to 100% refund</w:t>
            </w:r>
          </w:p>
        </w:tc>
      </w:tr>
      <w:tr w:rsidR="00F362E7" w14:paraId="43A5450E" w14:textId="77777777">
        <w:tc>
          <w:tcPr>
            <w:tcW w:w="2254" w:type="dxa"/>
          </w:tcPr>
          <w:p w14:paraId="055E66E0" w14:textId="3C6C74E5" w:rsidR="00F362E7" w:rsidRDefault="003F06F3" w:rsidP="00F362E7">
            <w:pPr>
              <w:ind w:right="5"/>
            </w:pPr>
            <w:r>
              <w:t>06/05/2021</w:t>
            </w:r>
          </w:p>
        </w:tc>
        <w:tc>
          <w:tcPr>
            <w:tcW w:w="1143" w:type="dxa"/>
          </w:tcPr>
          <w:p w14:paraId="119D5387" w14:textId="683C2075" w:rsidR="00F362E7" w:rsidRDefault="003F06F3" w:rsidP="00F362E7">
            <w:pPr>
              <w:ind w:right="5"/>
            </w:pPr>
            <w:r>
              <w:t>1.4</w:t>
            </w:r>
          </w:p>
        </w:tc>
        <w:tc>
          <w:tcPr>
            <w:tcW w:w="5619" w:type="dxa"/>
          </w:tcPr>
          <w:p w14:paraId="5B9A25B4" w14:textId="7D384CD0" w:rsidR="00F362E7" w:rsidRDefault="003F06F3" w:rsidP="00F362E7">
            <w:pPr>
              <w:ind w:right="5"/>
            </w:pPr>
            <w:r>
              <w:t>Amended policy for refund to include 3-month time limitation for application of visa, and GTE based refund on case-by-case basis</w:t>
            </w:r>
            <w:r w:rsidR="0058065B">
              <w:t>s</w:t>
            </w:r>
          </w:p>
        </w:tc>
      </w:tr>
      <w:tr w:rsidR="00F362E7" w14:paraId="4E7E00ED" w14:textId="77777777">
        <w:tc>
          <w:tcPr>
            <w:tcW w:w="2254" w:type="dxa"/>
          </w:tcPr>
          <w:p w14:paraId="3656FBAF" w14:textId="77777777" w:rsidR="00F362E7" w:rsidRDefault="00F362E7" w:rsidP="00F362E7">
            <w:pPr>
              <w:ind w:right="5"/>
            </w:pPr>
          </w:p>
        </w:tc>
        <w:tc>
          <w:tcPr>
            <w:tcW w:w="1143" w:type="dxa"/>
          </w:tcPr>
          <w:p w14:paraId="42023AFF" w14:textId="77777777" w:rsidR="00F362E7" w:rsidRDefault="00F362E7" w:rsidP="00F362E7">
            <w:pPr>
              <w:ind w:right="5"/>
            </w:pPr>
          </w:p>
        </w:tc>
        <w:tc>
          <w:tcPr>
            <w:tcW w:w="5619" w:type="dxa"/>
          </w:tcPr>
          <w:p w14:paraId="6A9E1AFB" w14:textId="77777777" w:rsidR="00F362E7" w:rsidRDefault="00F362E7" w:rsidP="00F362E7">
            <w:pPr>
              <w:ind w:right="5"/>
            </w:pPr>
          </w:p>
        </w:tc>
      </w:tr>
      <w:tr w:rsidR="00F362E7" w14:paraId="540D554E" w14:textId="77777777">
        <w:tc>
          <w:tcPr>
            <w:tcW w:w="2254" w:type="dxa"/>
          </w:tcPr>
          <w:p w14:paraId="52F65399" w14:textId="77777777" w:rsidR="00F362E7" w:rsidRDefault="00F362E7" w:rsidP="00F362E7">
            <w:pPr>
              <w:ind w:right="5"/>
            </w:pPr>
          </w:p>
        </w:tc>
        <w:tc>
          <w:tcPr>
            <w:tcW w:w="1143" w:type="dxa"/>
          </w:tcPr>
          <w:p w14:paraId="4EF1E3B5" w14:textId="77777777" w:rsidR="00F362E7" w:rsidRDefault="00F362E7" w:rsidP="00F362E7">
            <w:pPr>
              <w:ind w:right="5"/>
            </w:pPr>
          </w:p>
        </w:tc>
        <w:tc>
          <w:tcPr>
            <w:tcW w:w="5619" w:type="dxa"/>
          </w:tcPr>
          <w:p w14:paraId="30B96967" w14:textId="77777777" w:rsidR="00F362E7" w:rsidRDefault="00F362E7" w:rsidP="00F362E7">
            <w:pPr>
              <w:ind w:right="5"/>
            </w:pPr>
          </w:p>
        </w:tc>
      </w:tr>
    </w:tbl>
    <w:p w14:paraId="1E8E76B7" w14:textId="77777777" w:rsidR="006341E3" w:rsidRDefault="006341E3">
      <w:pPr>
        <w:ind w:right="5"/>
      </w:pPr>
    </w:p>
    <w:p w14:paraId="5A6D1B1A" w14:textId="77777777" w:rsidR="006341E3" w:rsidRDefault="006341E3"/>
    <w:sectPr w:rsidR="006341E3">
      <w:headerReference w:type="even" r:id="rId8"/>
      <w:headerReference w:type="default" r:id="rId9"/>
      <w:footerReference w:type="even" r:id="rId10"/>
      <w:footerReference w:type="default" r:id="rId11"/>
      <w:headerReference w:type="first" r:id="rId12"/>
      <w:footerReference w:type="first" r:id="rId13"/>
      <w:pgSz w:w="11900" w:h="16840"/>
      <w:pgMar w:top="1728" w:right="1312" w:bottom="1560" w:left="1374" w:header="397" w:footer="48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1359" w14:textId="77777777" w:rsidR="002C3851" w:rsidRDefault="002C3851">
      <w:pPr>
        <w:spacing w:before="0" w:line="240" w:lineRule="auto"/>
      </w:pPr>
      <w:r>
        <w:separator/>
      </w:r>
    </w:p>
  </w:endnote>
  <w:endnote w:type="continuationSeparator" w:id="0">
    <w:p w14:paraId="17FBD105" w14:textId="77777777" w:rsidR="002C3851" w:rsidRDefault="002C38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E5EB" w14:textId="77777777" w:rsidR="006341E3" w:rsidRDefault="00CA4C26">
    <w:pPr>
      <w:spacing w:line="240" w:lineRule="auto"/>
      <w:rPr>
        <w:i/>
        <w:sz w:val="18"/>
        <w:szCs w:val="18"/>
      </w:rPr>
    </w:pPr>
    <w:r>
      <w:rPr>
        <w:i/>
        <w:sz w:val="18"/>
        <w:szCs w:val="18"/>
      </w:rPr>
      <w:fldChar w:fldCharType="begin"/>
    </w:r>
    <w:r>
      <w:rPr>
        <w:i/>
        <w:sz w:val="18"/>
        <w:szCs w:val="18"/>
      </w:rPr>
      <w:instrText>PAGE</w:instrText>
    </w:r>
    <w:r>
      <w:rPr>
        <w:i/>
        <w:sz w:val="18"/>
        <w:szCs w:val="18"/>
      </w:rPr>
      <w:fldChar w:fldCharType="end"/>
    </w:r>
  </w:p>
  <w:p w14:paraId="03473121" w14:textId="77777777" w:rsidR="006341E3" w:rsidRDefault="006341E3">
    <w:pPr>
      <w:spacing w:line="240" w:lineRule="auto"/>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1834" w14:textId="77777777" w:rsidR="006341E3" w:rsidRDefault="006341E3">
    <w:pPr>
      <w:spacing w:line="240" w:lineRule="auto"/>
      <w:rPr>
        <w:i/>
        <w:sz w:val="18"/>
        <w:szCs w:val="18"/>
      </w:rPr>
    </w:pPr>
  </w:p>
  <w:tbl>
    <w:tblPr>
      <w:tblStyle w:val="a1"/>
      <w:tblW w:w="18528" w:type="dxa"/>
      <w:tblBorders>
        <w:top w:val="nil"/>
        <w:left w:val="nil"/>
        <w:bottom w:val="nil"/>
        <w:right w:val="nil"/>
        <w:insideH w:val="nil"/>
        <w:insideV w:val="nil"/>
      </w:tblBorders>
      <w:tblLayout w:type="fixed"/>
      <w:tblLook w:val="0400" w:firstRow="0" w:lastRow="0" w:firstColumn="0" w:lastColumn="0" w:noHBand="0" w:noVBand="1"/>
    </w:tblPr>
    <w:tblGrid>
      <w:gridCol w:w="9264"/>
      <w:gridCol w:w="9264"/>
    </w:tblGrid>
    <w:tr w:rsidR="006341E3" w14:paraId="35054EC3" w14:textId="77777777">
      <w:trPr>
        <w:trHeight w:val="178"/>
      </w:trPr>
      <w:tc>
        <w:tcPr>
          <w:tcW w:w="9264" w:type="dxa"/>
          <w:shd w:val="clear" w:color="auto" w:fill="auto"/>
        </w:tcPr>
        <w:p w14:paraId="3CD65F6D" w14:textId="0ED819A7" w:rsidR="006341E3" w:rsidRDefault="00CA4C26">
          <w:pPr>
            <w:ind w:left="0"/>
            <w:rPr>
              <w:i/>
              <w:sz w:val="18"/>
              <w:szCs w:val="18"/>
            </w:rPr>
          </w:pPr>
          <w:r>
            <w:rPr>
              <w:i/>
              <w:noProof/>
              <w:sz w:val="18"/>
              <w:szCs w:val="18"/>
            </w:rPr>
            <w:drawing>
              <wp:inline distT="0" distB="0" distL="0" distR="0" wp14:anchorId="0B520CEB" wp14:editId="1D9028D7">
                <wp:extent cx="943731" cy="287836"/>
                <wp:effectExtent l="0" t="0" r="0" b="0"/>
                <wp:docPr id="45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43731" cy="287836"/>
                        </a:xfrm>
                        <a:prstGeom prst="rect">
                          <a:avLst/>
                        </a:prstGeom>
                        <a:ln/>
                      </pic:spPr>
                    </pic:pic>
                  </a:graphicData>
                </a:graphic>
              </wp:inline>
            </w:drawing>
          </w:r>
          <w:r>
            <w:rPr>
              <w:i/>
              <w:sz w:val="18"/>
              <w:szCs w:val="18"/>
            </w:rPr>
            <w:t xml:space="preserve">  UniSmarter by Navitas | Navitas </w:t>
          </w:r>
          <w:proofErr w:type="spellStart"/>
          <w:r>
            <w:rPr>
              <w:i/>
              <w:sz w:val="18"/>
              <w:szCs w:val="18"/>
            </w:rPr>
            <w:t>EduServices</w:t>
          </w:r>
          <w:proofErr w:type="spellEnd"/>
          <w:r>
            <w:rPr>
              <w:i/>
              <w:sz w:val="18"/>
              <w:szCs w:val="18"/>
            </w:rPr>
            <w:t xml:space="preserve"> Pte Ltd</w:t>
          </w:r>
        </w:p>
      </w:tc>
      <w:tc>
        <w:tcPr>
          <w:tcW w:w="9264" w:type="dxa"/>
          <w:shd w:val="clear" w:color="auto" w:fill="auto"/>
        </w:tcPr>
        <w:p w14:paraId="0717BEF4" w14:textId="135CE4A7" w:rsidR="006341E3" w:rsidRDefault="00372D35">
          <w:pPr>
            <w:ind w:left="0"/>
            <w:rPr>
              <w:i/>
              <w:sz w:val="18"/>
              <w:szCs w:val="18"/>
            </w:rPr>
          </w:pPr>
          <w:r>
            <w:rPr>
              <w:noProof/>
            </w:rPr>
            <mc:AlternateContent>
              <mc:Choice Requires="wps">
                <w:drawing>
                  <wp:anchor distT="0" distB="0" distL="114300" distR="114300" simplePos="0" relativeHeight="251659264" behindDoc="0" locked="0" layoutInCell="1" hidden="0" allowOverlap="1" wp14:anchorId="0419F32E" wp14:editId="07CD2B70">
                    <wp:simplePos x="0" y="0"/>
                    <wp:positionH relativeFrom="column">
                      <wp:posOffset>268686</wp:posOffset>
                    </wp:positionH>
                    <wp:positionV relativeFrom="paragraph">
                      <wp:posOffset>-62715</wp:posOffset>
                    </wp:positionV>
                    <wp:extent cx="85089" cy="617855"/>
                    <wp:effectExtent l="0" t="0" r="17145" b="17145"/>
                    <wp:wrapNone/>
                    <wp:docPr id="452" name="Rectangle 452"/>
                    <wp:cNvGraphicFramePr/>
                    <a:graphic xmlns:a="http://schemas.openxmlformats.org/drawingml/2006/main">
                      <a:graphicData uri="http://schemas.microsoft.com/office/word/2010/wordprocessingShape">
                        <wps:wsp>
                          <wps:cNvSpPr/>
                          <wps:spPr>
                            <a:xfrm>
                              <a:off x="0" y="0"/>
                              <a:ext cx="85089" cy="617855"/>
                            </a:xfrm>
                            <a:prstGeom prst="rect">
                              <a:avLst/>
                            </a:prstGeom>
                            <a:solidFill>
                              <a:srgbClr val="16A3B2"/>
                            </a:solidFill>
                            <a:ln w="12700" cap="flat" cmpd="sng">
                              <a:solidFill>
                                <a:srgbClr val="16A3B2"/>
                              </a:solidFill>
                              <a:prstDash val="solid"/>
                              <a:miter lim="800000"/>
                              <a:headEnd type="none" w="sm" len="sm"/>
                              <a:tailEnd type="none" w="sm" len="sm"/>
                            </a:ln>
                          </wps:spPr>
                          <wps:txbx>
                            <w:txbxContent>
                              <w:p w14:paraId="46C61E20" w14:textId="77777777" w:rsidR="006341E3" w:rsidRDefault="006341E3">
                                <w:pPr>
                                  <w:spacing w:before="0" w:line="240" w:lineRule="auto"/>
                                  <w:ind w:right="0"/>
                                  <w:jc w:val="left"/>
                                  <w:textDirection w:val="btLr"/>
                                </w:pPr>
                              </w:p>
                            </w:txbxContent>
                          </wps:txbx>
                          <wps:bodyPr spcFirstLastPara="1" wrap="square" lIns="91425" tIns="91425" rIns="91425" bIns="91425" anchor="ctr" anchorCtr="0">
                            <a:noAutofit/>
                          </wps:bodyPr>
                        </wps:wsp>
                      </a:graphicData>
                    </a:graphic>
                  </wp:anchor>
                </w:drawing>
              </mc:Choice>
              <mc:Fallback>
                <w:pict>
                  <v:rect w14:anchorId="0419F32E" id="Rectangle 452" o:spid="_x0000_s1026" style="position:absolute;left:0;text-align:left;margin-left:21.15pt;margin-top:-4.95pt;width:6.7pt;height:4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" fillcolor="#16a3b2" strokecolor="#16a3b2" strokeweight="1pt">
                    <v:stroke startarrowwidth="narrow" startarrowlength="short" endarrowwidth="narrow" endarrowlength="short"/>
                    <v:textbox inset="2.53958mm,2.53958mm,2.53958mm,2.53958mm">
                      <w:txbxContent>
                        <w:p w14:paraId="46C61E20" w14:textId="77777777" w:rsidR="006341E3" w:rsidRDefault="006341E3">
                          <w:pPr>
                            <w:spacing w:before="0" w:line="240" w:lineRule="auto"/>
                            <w:ind w:right="0"/>
                            <w:jc w:val="left"/>
                            <w:textDirection w:val="btLr"/>
                          </w:pPr>
                        </w:p>
                      </w:txbxContent>
                    </v:textbox>
                  </v:rect>
                </w:pict>
              </mc:Fallback>
            </mc:AlternateContent>
          </w:r>
        </w:p>
      </w:tc>
    </w:tr>
  </w:tbl>
  <w:p w14:paraId="27AB6A8E" w14:textId="7668354A" w:rsidR="006341E3" w:rsidRDefault="00CA4C26">
    <w:pPr>
      <w:spacing w:line="240" w:lineRule="auto"/>
      <w:rPr>
        <w:i/>
        <w:sz w:val="18"/>
        <w:szCs w:val="18"/>
      </w:rPr>
    </w:pPr>
    <w:r>
      <w:rPr>
        <w:noProof/>
      </w:rPr>
      <mc:AlternateContent>
        <mc:Choice Requires="wps">
          <w:drawing>
            <wp:anchor distT="0" distB="0" distL="114300" distR="114300" simplePos="0" relativeHeight="251660288" behindDoc="0" locked="0" layoutInCell="1" hidden="0" allowOverlap="1" wp14:anchorId="05332103" wp14:editId="15863075">
              <wp:simplePos x="0" y="0"/>
              <wp:positionH relativeFrom="column">
                <wp:posOffset>5613400</wp:posOffset>
              </wp:positionH>
              <wp:positionV relativeFrom="paragraph">
                <wp:posOffset>0</wp:posOffset>
              </wp:positionV>
              <wp:extent cx="615792" cy="85994"/>
              <wp:effectExtent l="0" t="0" r="0" b="0"/>
              <wp:wrapNone/>
              <wp:docPr id="453" name="Rectangle 453"/>
              <wp:cNvGraphicFramePr/>
              <a:graphic xmlns:a="http://schemas.openxmlformats.org/drawingml/2006/main">
                <a:graphicData uri="http://schemas.microsoft.com/office/word/2010/wordprocessingShape">
                  <wps:wsp>
                    <wps:cNvSpPr/>
                    <wps:spPr>
                      <a:xfrm rot="10800000">
                        <a:off x="5044454" y="3743353"/>
                        <a:ext cx="603092" cy="73294"/>
                      </a:xfrm>
                      <a:prstGeom prst="rect">
                        <a:avLst/>
                      </a:prstGeom>
                      <a:solidFill>
                        <a:srgbClr val="BAC732"/>
                      </a:solidFill>
                      <a:ln w="12700" cap="flat" cmpd="sng">
                        <a:solidFill>
                          <a:srgbClr val="BAC732"/>
                        </a:solidFill>
                        <a:prstDash val="solid"/>
                        <a:miter lim="800000"/>
                        <a:headEnd type="none" w="sm" len="sm"/>
                        <a:tailEnd type="none" w="sm" len="sm"/>
                      </a:ln>
                    </wps:spPr>
                    <wps:txbx>
                      <w:txbxContent>
                        <w:p w14:paraId="499BE4AA" w14:textId="77777777" w:rsidR="006341E3" w:rsidRDefault="006341E3">
                          <w:pPr>
                            <w:spacing w:before="0" w:line="240" w:lineRule="auto"/>
                            <w:ind w:right="0"/>
                            <w:jc w:val="left"/>
                            <w:textDirection w:val="btLr"/>
                          </w:pPr>
                        </w:p>
                      </w:txbxContent>
                    </wps:txbx>
                    <wps:bodyPr spcFirstLastPara="1" wrap="square" lIns="91425" tIns="91425" rIns="91425" bIns="91425" anchor="ctr" anchorCtr="0">
                      <a:noAutofit/>
                    </wps:bodyPr>
                  </wps:wsp>
                </a:graphicData>
              </a:graphic>
            </wp:anchor>
          </w:drawing>
        </mc:Choice>
        <mc:Fallback>
          <w:pict>
            <v:rect w14:anchorId="05332103" id="Rectangle 453" o:spid="_x0000_s1027" style="position:absolute;left:0;text-align:left;margin-left:442pt;margin-top:0;width:48.5pt;height:6.7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" fillcolor="#bac732" strokecolor="#bac732" strokeweight="1pt">
              <v:stroke startarrowwidth="narrow" startarrowlength="short" endarrowwidth="narrow" endarrowlength="short"/>
              <v:textbox inset="2.53958mm,2.53958mm,2.53958mm,2.53958mm">
                <w:txbxContent>
                  <w:p w14:paraId="499BE4AA" w14:textId="77777777" w:rsidR="006341E3" w:rsidRDefault="006341E3">
                    <w:pPr>
                      <w:spacing w:before="0" w:line="240" w:lineRule="auto"/>
                      <w:ind w:right="0"/>
                      <w:jc w:val="left"/>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8EB8" w14:textId="77777777" w:rsidR="006341E3" w:rsidRDefault="00CA4C26">
    <w:pPr>
      <w:spacing w:line="240" w:lineRule="auto"/>
      <w:rPr>
        <w:i/>
        <w:sz w:val="18"/>
        <w:szCs w:val="18"/>
      </w:rPr>
    </w:pPr>
    <w:r>
      <w:rPr>
        <w:b/>
        <w:sz w:val="18"/>
        <w:szCs w:val="18"/>
      </w:rPr>
      <w:fldChar w:fldCharType="begin"/>
    </w:r>
    <w:r>
      <w:rPr>
        <w:b/>
        <w:sz w:val="18"/>
        <w:szCs w:val="18"/>
      </w:rPr>
      <w:instrText>PAGE</w:instrText>
    </w:r>
    <w:r>
      <w:rPr>
        <w:b/>
        <w:sz w:val="18"/>
        <w:szCs w:val="18"/>
      </w:rPr>
      <w:fldChar w:fldCharType="end"/>
    </w:r>
  </w:p>
  <w:p w14:paraId="3AB90289" w14:textId="77777777" w:rsidR="006341E3" w:rsidRDefault="00CA4C26">
    <w:pPr>
      <w:pStyle w:val="Heading2"/>
      <w:numPr>
        <w:ilvl w:val="1"/>
        <w:numId w:val="2"/>
      </w:numPr>
      <w:rPr>
        <w:rFonts w:ascii="Arial" w:eastAsia="Arial" w:hAnsi="Arial" w:cs="Arial"/>
        <w:b/>
        <w:sz w:val="14"/>
        <w:szCs w:val="14"/>
      </w:rPr>
    </w:pPr>
    <w:r>
      <w:rPr>
        <w:noProof/>
      </w:rPr>
      <w:drawing>
        <wp:inline distT="0" distB="0" distL="0" distR="0" wp14:anchorId="615E184E" wp14:editId="71D7628B">
          <wp:extent cx="858737" cy="261915"/>
          <wp:effectExtent l="0" t="0" r="0" b="0"/>
          <wp:docPr id="4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8737" cy="261915"/>
                  </a:xfrm>
                  <a:prstGeom prst="rect">
                    <a:avLst/>
                  </a:prstGeom>
                  <a:ln/>
                </pic:spPr>
              </pic:pic>
            </a:graphicData>
          </a:graphic>
        </wp:inline>
      </w:drawing>
    </w:r>
    <w:r>
      <w:t xml:space="preserve"> </w:t>
    </w:r>
    <w:r>
      <w:rPr>
        <w:color w:val="7F7F7F"/>
      </w:rPr>
      <w:t xml:space="preserve">UniSmarter by Navitas | Navitas </w:t>
    </w:r>
    <w:proofErr w:type="spellStart"/>
    <w:r>
      <w:rPr>
        <w:color w:val="7F7F7F"/>
      </w:rPr>
      <w:t>EduServices</w:t>
    </w:r>
    <w:proofErr w:type="spellEnd"/>
    <w:r>
      <w:rPr>
        <w:color w:val="7F7F7F"/>
      </w:rPr>
      <w:t xml:space="preserve"> Pte Ltd</w:t>
    </w:r>
    <w:r>
      <w:t xml:space="preserve">                                                            </w:t>
    </w:r>
  </w:p>
  <w:p w14:paraId="66A30581" w14:textId="77777777" w:rsidR="006341E3" w:rsidRDefault="006341E3">
    <w:pPr>
      <w:pStyle w:val="Heading2"/>
      <w:numPr>
        <w:ilvl w:val="1"/>
        <w:numId w:val="2"/>
      </w:numPr>
      <w:spacing w:before="0"/>
      <w:rPr>
        <w:rFonts w:ascii="Arial" w:eastAsia="Arial" w:hAnsi="Arial" w:cs="Arial"/>
        <w:color w:val="5F6062"/>
        <w:sz w:val="14"/>
        <w:szCs w:val="14"/>
      </w:rPr>
    </w:pPr>
  </w:p>
  <w:p w14:paraId="1717077F" w14:textId="77777777" w:rsidR="006341E3" w:rsidRDefault="006341E3">
    <w:pPr>
      <w:spacing w:line="240" w:lineRule="auto"/>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23B8" w14:textId="77777777" w:rsidR="002C3851" w:rsidRDefault="002C3851">
      <w:pPr>
        <w:spacing w:before="0" w:line="240" w:lineRule="auto"/>
      </w:pPr>
      <w:r>
        <w:separator/>
      </w:r>
    </w:p>
  </w:footnote>
  <w:footnote w:type="continuationSeparator" w:id="0">
    <w:p w14:paraId="2171385D" w14:textId="77777777" w:rsidR="002C3851" w:rsidRDefault="002C385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7406" w14:textId="77777777" w:rsidR="00372D35" w:rsidRDefault="00372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5605" w14:textId="77777777" w:rsidR="006341E3" w:rsidRDefault="00CA4C26">
    <w:pPr>
      <w:spacing w:line="240" w:lineRule="auto"/>
      <w:jc w:val="right"/>
    </w:pPr>
    <w:r>
      <w:rPr>
        <w:noProof/>
      </w:rPr>
      <w:drawing>
        <wp:inline distT="0" distB="0" distL="0" distR="0" wp14:anchorId="49C16F34" wp14:editId="1CD3FB07">
          <wp:extent cx="1971675" cy="790575"/>
          <wp:effectExtent l="0" t="0" r="0" b="0"/>
          <wp:docPr id="4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71675" cy="7905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8AC2" w14:textId="77777777" w:rsidR="006341E3" w:rsidRDefault="00CA4C26">
    <w:pPr>
      <w:spacing w:line="240" w:lineRule="auto"/>
    </w:pPr>
    <w:r>
      <w:rPr>
        <w:noProof/>
      </w:rPr>
      <mc:AlternateContent>
        <mc:Choice Requires="wpg">
          <w:drawing>
            <wp:anchor distT="0" distB="0" distL="114300" distR="114300" simplePos="0" relativeHeight="251658240" behindDoc="0" locked="0" layoutInCell="1" hidden="0" allowOverlap="1" wp14:anchorId="57FDAD1A" wp14:editId="39E6ABEB">
              <wp:simplePos x="0" y="0"/>
              <wp:positionH relativeFrom="page">
                <wp:align>left</wp:align>
              </wp:positionH>
              <wp:positionV relativeFrom="page">
                <wp:align>top</wp:align>
              </wp:positionV>
              <wp:extent cx="969264" cy="978408"/>
              <wp:effectExtent l="0" t="0" r="0" b="0"/>
              <wp:wrapNone/>
              <wp:docPr id="454" name="Group 454"/>
              <wp:cNvGraphicFramePr/>
              <a:graphic xmlns:a="http://schemas.openxmlformats.org/drawingml/2006/main">
                <a:graphicData uri="http://schemas.microsoft.com/office/word/2010/wordprocessingGroup">
                  <wpg:wgp>
                    <wpg:cNvGrpSpPr/>
                    <wpg:grpSpPr>
                      <a:xfrm>
                        <a:off x="0" y="0"/>
                        <a:ext cx="969264" cy="978408"/>
                        <a:chOff x="4861368" y="3290796"/>
                        <a:chExt cx="969264" cy="978408"/>
                      </a:xfrm>
                    </wpg:grpSpPr>
                    <wpg:grpSp>
                      <wpg:cNvPr id="1" name="Group 1"/>
                      <wpg:cNvGrpSpPr/>
                      <wpg:grpSpPr>
                        <a:xfrm>
                          <a:off x="4861368" y="3290796"/>
                          <a:ext cx="969264" cy="978408"/>
                          <a:chOff x="0" y="0"/>
                          <a:chExt cx="965200" cy="978408"/>
                        </a:xfrm>
                      </wpg:grpSpPr>
                      <wps:wsp>
                        <wps:cNvPr id="2" name="Rectangle 2"/>
                        <wps:cNvSpPr/>
                        <wps:spPr>
                          <a:xfrm>
                            <a:off x="0" y="0"/>
                            <a:ext cx="965200" cy="978400"/>
                          </a:xfrm>
                          <a:prstGeom prst="rect">
                            <a:avLst/>
                          </a:prstGeom>
                          <a:noFill/>
                          <a:ln>
                            <a:noFill/>
                          </a:ln>
                        </wps:spPr>
                        <wps:txbx>
                          <w:txbxContent>
                            <w:p w14:paraId="6EEC5226" w14:textId="77777777" w:rsidR="006341E3" w:rsidRDefault="006341E3">
                              <w:pPr>
                                <w:spacing w:before="0" w:line="240" w:lineRule="auto"/>
                                <w:ind w:right="0"/>
                                <w:jc w:val="left"/>
                                <w:textDirection w:val="btLr"/>
                              </w:pPr>
                            </w:p>
                          </w:txbxContent>
                        </wps:txbx>
                        <wps:bodyPr spcFirstLastPara="1" wrap="square" lIns="91425" tIns="91425" rIns="91425" bIns="91425" anchor="ctr" anchorCtr="0">
                          <a:noAutofit/>
                        </wps:bodyPr>
                      </wps:wsp>
                      <wps:wsp>
                        <wps:cNvPr id="3" name="Rectangle 3"/>
                        <wps:cNvSpPr/>
                        <wps:spPr>
                          <a:xfrm>
                            <a:off x="361950" y="0"/>
                            <a:ext cx="594360" cy="365760"/>
                          </a:xfrm>
                          <a:prstGeom prst="rect">
                            <a:avLst/>
                          </a:prstGeom>
                          <a:noFill/>
                          <a:ln>
                            <a:noFill/>
                          </a:ln>
                        </wps:spPr>
                        <wps:txbx>
                          <w:txbxContent>
                            <w:p w14:paraId="72F8C5E3" w14:textId="77777777" w:rsidR="006341E3" w:rsidRDefault="006341E3">
                              <w:pPr>
                                <w:spacing w:before="0" w:line="240" w:lineRule="auto"/>
                                <w:ind w:right="0"/>
                                <w:jc w:val="left"/>
                                <w:textDirection w:val="btLr"/>
                              </w:pPr>
                            </w:p>
                          </w:txbxContent>
                        </wps:txbx>
                        <wps:bodyPr spcFirstLastPara="1" wrap="square" lIns="91425" tIns="91425" rIns="91425" bIns="91425" anchor="ctr" anchorCtr="0">
                          <a:noAutofit/>
                        </wps:bodyPr>
                      </wps:wsp>
                      <wps:wsp>
                        <wps:cNvPr id="4" name="Rectangle 4"/>
                        <wps:cNvSpPr/>
                        <wps:spPr>
                          <a:xfrm>
                            <a:off x="0" y="0"/>
                            <a:ext cx="365760" cy="978408"/>
                          </a:xfrm>
                          <a:prstGeom prst="rect">
                            <a:avLst/>
                          </a:prstGeom>
                          <a:noFill/>
                          <a:ln>
                            <a:noFill/>
                          </a:ln>
                        </wps:spPr>
                        <wps:txbx>
                          <w:txbxContent>
                            <w:p w14:paraId="5F46167D" w14:textId="77777777" w:rsidR="006341E3" w:rsidRDefault="006341E3">
                              <w:pPr>
                                <w:spacing w:before="0" w:line="240" w:lineRule="auto"/>
                                <w:ind w:right="0"/>
                                <w:jc w:val="left"/>
                                <w:textDirection w:val="btLr"/>
                              </w:pPr>
                            </w:p>
                          </w:txbxContent>
                        </wps:txbx>
                        <wps:bodyPr spcFirstLastPara="1" wrap="square" lIns="91425" tIns="91425" rIns="91425" bIns="91425" anchor="ctr" anchorCtr="0">
                          <a:noAutofit/>
                        </wps:bodyPr>
                      </wps:wsp>
                      <wps:wsp>
                        <wps:cNvPr id="5" name="Rectangle 5"/>
                        <wps:cNvSpPr/>
                        <wps:spPr>
                          <a:xfrm>
                            <a:off x="361950" y="371475"/>
                            <a:ext cx="603250" cy="73025"/>
                          </a:xfrm>
                          <a:prstGeom prst="rect">
                            <a:avLst/>
                          </a:prstGeom>
                          <a:solidFill>
                            <a:srgbClr val="00ABA4"/>
                          </a:solidFill>
                          <a:ln w="12700" cap="flat" cmpd="sng">
                            <a:solidFill>
                              <a:srgbClr val="16A3B2"/>
                            </a:solidFill>
                            <a:prstDash val="solid"/>
                            <a:miter lim="800000"/>
                            <a:headEnd type="none" w="sm" len="sm"/>
                            <a:tailEnd type="none" w="sm" len="sm"/>
                          </a:ln>
                        </wps:spPr>
                        <wps:txbx>
                          <w:txbxContent>
                            <w:p w14:paraId="1CF86428" w14:textId="77777777" w:rsidR="006341E3" w:rsidRDefault="006341E3">
                              <w:pPr>
                                <w:spacing w:before="0" w:line="240" w:lineRule="auto"/>
                                <w:ind w:right="0"/>
                                <w:jc w:val="left"/>
                                <w:textDirection w:val="btLr"/>
                              </w:pPr>
                            </w:p>
                          </w:txbxContent>
                        </wps:txbx>
                        <wps:bodyPr spcFirstLastPara="1" wrap="square" lIns="91425" tIns="91425" rIns="91425" bIns="91425" anchor="ctr" anchorCtr="0">
                          <a:noAutofit/>
                        </wps:bodyPr>
                      </wps:wsp>
                      <wps:wsp>
                        <wps:cNvPr id="6" name="Rectangle 6"/>
                        <wps:cNvSpPr/>
                        <wps:spPr>
                          <a:xfrm rot="5400000">
                            <a:off x="95250" y="638175"/>
                            <a:ext cx="603250" cy="73025"/>
                          </a:xfrm>
                          <a:prstGeom prst="rect">
                            <a:avLst/>
                          </a:prstGeom>
                          <a:solidFill>
                            <a:srgbClr val="BAC732"/>
                          </a:solidFill>
                          <a:ln w="12700" cap="flat" cmpd="sng">
                            <a:solidFill>
                              <a:srgbClr val="BAC732"/>
                            </a:solidFill>
                            <a:prstDash val="solid"/>
                            <a:miter lim="800000"/>
                            <a:headEnd type="none" w="sm" len="sm"/>
                            <a:tailEnd type="none" w="sm" len="sm"/>
                          </a:ln>
                        </wps:spPr>
                        <wps:txbx>
                          <w:txbxContent>
                            <w:p w14:paraId="75579E4D" w14:textId="77777777" w:rsidR="006341E3" w:rsidRDefault="006341E3">
                              <w:pPr>
                                <w:spacing w:before="0" w:line="240" w:lineRule="auto"/>
                                <w:ind w:right="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7FDAD1A" id="Group 454" o:spid="_x0000_s1028" style="position:absolute;left:0;text-align:left;margin-left:0;margin-top:0;width:76.3pt;height:77.05pt;z-index:251658240;mso-position-horizontal:left;mso-position-horizontal-relative:page;mso-position-vertical:top;mso-position-vertical-relative:page" coordorigin="48613,32907" coordsize="9692,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">
              <v:group id="Group 1" o:spid="_x0000_s1029" style="position:absolute;left:48613;top:32907;width:9693;height:9785" coordsize="9652,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30" style="position:absolute;width:9652;height:9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6EEC5226" w14:textId="77777777" w:rsidR="006341E3" w:rsidRDefault="006341E3">
                        <w:pPr>
                          <w:spacing w:before="0" w:line="240" w:lineRule="auto"/>
                          <w:ind w:right="0"/>
                          <w:jc w:val="left"/>
                          <w:textDirection w:val="btLr"/>
                        </w:pPr>
                      </w:p>
                    </w:txbxContent>
                  </v:textbox>
                </v:rect>
                <v:rect id="Rectangle 3" o:spid="_x0000_s1031" style="position:absolute;left:3619;width:5944;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" filled="f" stroked="f">
                  <v:textbox inset="2.53958mm,2.53958mm,2.53958mm,2.53958mm">
                    <w:txbxContent>
                      <w:p w14:paraId="72F8C5E3" w14:textId="77777777" w:rsidR="006341E3" w:rsidRDefault="006341E3">
                        <w:pPr>
                          <w:spacing w:before="0" w:line="240" w:lineRule="auto"/>
                          <w:ind w:right="0"/>
                          <w:jc w:val="left"/>
                          <w:textDirection w:val="btLr"/>
                        </w:pPr>
                      </w:p>
                    </w:txbxContent>
                  </v:textbox>
                </v:rect>
                <v:rect id="Rectangle 4" o:spid="_x0000_s1032" style="position:absolute;width:3657;height:9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" filled="f" stroked="f">
                  <v:textbox inset="2.53958mm,2.53958mm,2.53958mm,2.53958mm">
                    <w:txbxContent>
                      <w:p w14:paraId="5F46167D" w14:textId="77777777" w:rsidR="006341E3" w:rsidRDefault="006341E3">
                        <w:pPr>
                          <w:spacing w:before="0" w:line="240" w:lineRule="auto"/>
                          <w:ind w:right="0"/>
                          <w:jc w:val="left"/>
                          <w:textDirection w:val="btLr"/>
                        </w:pPr>
                      </w:p>
                    </w:txbxContent>
                  </v:textbox>
                </v:rect>
                <v:rect id="Rectangle 5" o:spid="_x0000_s1033" style="position:absolute;left:3619;top:3714;width:6033;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" fillcolor="#00aba4" strokecolor="#16a3b2" strokeweight="1pt">
                  <v:stroke startarrowwidth="narrow" startarrowlength="short" endarrowwidth="narrow" endarrowlength="short"/>
                  <v:textbox inset="2.53958mm,2.53958mm,2.53958mm,2.53958mm">
                    <w:txbxContent>
                      <w:p w14:paraId="1CF86428" w14:textId="77777777" w:rsidR="006341E3" w:rsidRDefault="006341E3">
                        <w:pPr>
                          <w:spacing w:before="0" w:line="240" w:lineRule="auto"/>
                          <w:ind w:right="0"/>
                          <w:jc w:val="left"/>
                          <w:textDirection w:val="btLr"/>
                        </w:pPr>
                      </w:p>
                    </w:txbxContent>
                  </v:textbox>
                </v:rect>
                <v:rect id="Rectangle 6" o:spid="_x0000_s1034" style="position:absolute;left:951;top:6382;width:6033;height:7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" fillcolor="#bac732" strokecolor="#bac732" strokeweight="1pt">
                  <v:stroke startarrowwidth="narrow" startarrowlength="short" endarrowwidth="narrow" endarrowlength="short"/>
                  <v:textbox inset="2.53958mm,2.53958mm,2.53958mm,2.53958mm">
                    <w:txbxContent>
                      <w:p w14:paraId="75579E4D" w14:textId="77777777" w:rsidR="006341E3" w:rsidRDefault="006341E3">
                        <w:pPr>
                          <w:spacing w:before="0" w:line="240" w:lineRule="auto"/>
                          <w:ind w:right="0"/>
                          <w:jc w:val="left"/>
                          <w:textDirection w:val="btLr"/>
                        </w:pPr>
                      </w:p>
                    </w:txbxContent>
                  </v:textbox>
                </v:rec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938E7"/>
    <w:multiLevelType w:val="hybridMultilevel"/>
    <w:tmpl w:val="57026B38"/>
    <w:lvl w:ilvl="0" w:tplc="9BF2408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A45200"/>
    <w:multiLevelType w:val="multilevel"/>
    <w:tmpl w:val="3982C1A0"/>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D321F2"/>
    <w:multiLevelType w:val="multilevel"/>
    <w:tmpl w:val="E8A46562"/>
    <w:lvl w:ilvl="0">
      <w:start w:val="1"/>
      <w:numFmt w:val="decimal"/>
      <w:pStyle w:val="ListParagraph"/>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573F4F68"/>
    <w:multiLevelType w:val="multilevel"/>
    <w:tmpl w:val="26D62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BD0011"/>
    <w:multiLevelType w:val="hybridMultilevel"/>
    <w:tmpl w:val="6980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F11FA"/>
    <w:multiLevelType w:val="multilevel"/>
    <w:tmpl w:val="AB429634"/>
    <w:lvl w:ilvl="0">
      <w:start w:val="1"/>
      <w:numFmt w:val="bullet"/>
      <w:pStyle w:val="Heading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6E3BB2"/>
    <w:multiLevelType w:val="multilevel"/>
    <w:tmpl w:val="CEB6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E3"/>
    <w:rsid w:val="00116DD5"/>
    <w:rsid w:val="00163E18"/>
    <w:rsid w:val="001C5411"/>
    <w:rsid w:val="002C3851"/>
    <w:rsid w:val="002E19D8"/>
    <w:rsid w:val="00367265"/>
    <w:rsid w:val="00372D35"/>
    <w:rsid w:val="003F06F3"/>
    <w:rsid w:val="00463166"/>
    <w:rsid w:val="004A1790"/>
    <w:rsid w:val="0058065B"/>
    <w:rsid w:val="00616ACC"/>
    <w:rsid w:val="006341E3"/>
    <w:rsid w:val="00661E4E"/>
    <w:rsid w:val="006848D6"/>
    <w:rsid w:val="00722ECE"/>
    <w:rsid w:val="00766785"/>
    <w:rsid w:val="007C2BF0"/>
    <w:rsid w:val="007F487B"/>
    <w:rsid w:val="00826C98"/>
    <w:rsid w:val="00883011"/>
    <w:rsid w:val="00891B40"/>
    <w:rsid w:val="008B074F"/>
    <w:rsid w:val="008C7116"/>
    <w:rsid w:val="00910FA4"/>
    <w:rsid w:val="009331D3"/>
    <w:rsid w:val="00A10590"/>
    <w:rsid w:val="00AD21AC"/>
    <w:rsid w:val="00B66EBD"/>
    <w:rsid w:val="00B848B3"/>
    <w:rsid w:val="00C16DEC"/>
    <w:rsid w:val="00C334C6"/>
    <w:rsid w:val="00CA4C26"/>
    <w:rsid w:val="00D07555"/>
    <w:rsid w:val="00DD396D"/>
    <w:rsid w:val="00EA1CDC"/>
    <w:rsid w:val="00F05EBF"/>
    <w:rsid w:val="00F10F81"/>
    <w:rsid w:val="00F362E7"/>
    <w:rsid w:val="00F762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C8100"/>
  <w15:docId w15:val="{2A3CD364-F774-4B4A-8E34-E9294DE6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before="120" w:line="288" w:lineRule="auto"/>
        <w:ind w:right="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481AF6"/>
    <w:pPr>
      <w:pBdr>
        <w:top w:val="nil"/>
        <w:left w:val="nil"/>
        <w:bottom w:val="nil"/>
        <w:right w:val="nil"/>
        <w:between w:val="nil"/>
      </w:pBdr>
    </w:pPr>
    <w:rPr>
      <w:color w:val="000000"/>
    </w:rPr>
  </w:style>
  <w:style w:type="paragraph" w:styleId="Heading1">
    <w:name w:val="heading 1"/>
    <w:aliases w:val="Sub-heading"/>
    <w:basedOn w:val="Normal"/>
    <w:next w:val="Normal"/>
    <w:link w:val="Heading1Char"/>
    <w:uiPriority w:val="9"/>
    <w:qFormat/>
    <w:rsid w:val="00DF55D8"/>
    <w:pPr>
      <w:keepNext/>
      <w:keepLines/>
      <w:numPr>
        <w:numId w:val="1"/>
      </w:numPr>
      <w:spacing w:before="300" w:after="120" w:line="240" w:lineRule="auto"/>
      <w:ind w:left="357" w:hanging="357"/>
      <w:contextualSpacing/>
      <w:outlineLvl w:val="0"/>
    </w:pPr>
    <w:rPr>
      <w:rFonts w:asciiTheme="majorHAnsi" w:hAnsiTheme="majorHAnsi" w:cstheme="majorBidi"/>
      <w:b/>
      <w:sz w:val="24"/>
      <w:szCs w:val="24"/>
    </w:rPr>
  </w:style>
  <w:style w:type="paragraph" w:styleId="Heading2">
    <w:name w:val="heading 2"/>
    <w:aliases w:val="Sub-sub heading"/>
    <w:basedOn w:val="Normal"/>
    <w:next w:val="Normal"/>
    <w:link w:val="Heading2Char"/>
    <w:uiPriority w:val="9"/>
    <w:unhideWhenUsed/>
    <w:qFormat/>
    <w:rsid w:val="00DA7F3E"/>
    <w:pPr>
      <w:keepNext/>
      <w:keepLines/>
      <w:numPr>
        <w:ilvl w:val="1"/>
        <w:numId w:val="1"/>
      </w:numPr>
      <w:spacing w:before="320" w:line="240" w:lineRule="auto"/>
      <w:ind w:left="360"/>
      <w:contextualSpacing/>
      <w:outlineLvl w:val="1"/>
    </w:pPr>
    <w:rPr>
      <w:rFonts w:asciiTheme="majorHAnsi" w:eastAsiaTheme="majorEastAsia" w:hAnsiTheme="majorHAnsi" w:cstheme="majorBidi"/>
      <w:i/>
      <w:color w:val="000000" w:themeColor="text1"/>
      <w:sz w:val="22"/>
      <w:szCs w:val="22"/>
    </w:rPr>
  </w:style>
  <w:style w:type="paragraph" w:styleId="Heading3">
    <w:name w:val="heading 3"/>
    <w:basedOn w:val="Normal"/>
    <w:next w:val="Normal"/>
    <w:link w:val="Heading3Char"/>
    <w:uiPriority w:val="9"/>
    <w:semiHidden/>
    <w:unhideWhenUsed/>
    <w:qFormat/>
    <w:rsid w:val="002358EF"/>
    <w:pPr>
      <w:keepNext/>
      <w:keepLines/>
      <w:numPr>
        <w:numId w:val="3"/>
      </w:numPr>
      <w:spacing w:after="60" w:line="240" w:lineRule="auto"/>
      <w:ind w:left="714" w:hanging="357"/>
      <w:contextualSpacing/>
      <w:outlineLvl w:val="2"/>
    </w:pPr>
    <w:rPr>
      <w:rFonts w:asciiTheme="majorHAnsi" w:hAnsiTheme="majorHAnsi" w:cstheme="majorBidi"/>
      <w:i/>
    </w:rPr>
  </w:style>
  <w:style w:type="paragraph" w:styleId="Heading4">
    <w:name w:val="heading 4"/>
    <w:aliases w:val="Quote text"/>
    <w:basedOn w:val="Normal"/>
    <w:next w:val="Normal"/>
    <w:link w:val="Heading4Char"/>
    <w:uiPriority w:val="9"/>
    <w:semiHidden/>
    <w:unhideWhenUsed/>
    <w:qFormat/>
    <w:rsid w:val="00A626D9"/>
    <w:pPr>
      <w:keepNext/>
      <w:keepLines/>
      <w:spacing w:before="320" w:line="240" w:lineRule="auto"/>
      <w:contextualSpacing/>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pPr>
      <w:keepNext/>
      <w:keepLines/>
      <w:spacing w:before="320" w:line="240" w:lineRule="auto"/>
      <w:contextualSpacing/>
      <w:outlineLvl w:val="4"/>
    </w:pPr>
    <w:rPr>
      <w:rFonts w:asciiTheme="majorHAnsi" w:eastAsiaTheme="majorEastAsia" w:hAnsiTheme="majorHAnsi" w:cstheme="majorBidi"/>
      <w:b/>
      <w:color w:val="EF9619" w:themeColor="accent1"/>
      <w:sz w:val="24"/>
    </w:rPr>
  </w:style>
  <w:style w:type="paragraph" w:styleId="Heading6">
    <w:name w:val="heading 6"/>
    <w:basedOn w:val="Normal"/>
    <w:next w:val="Normal"/>
    <w:link w:val="Heading6Char"/>
    <w:uiPriority w:val="9"/>
    <w:semiHidden/>
    <w:unhideWhenUsed/>
    <w:qFormat/>
    <w:pPr>
      <w:keepNext/>
      <w:keepLines/>
      <w:spacing w:before="320" w:line="240" w:lineRule="auto"/>
      <w:contextualSpacing/>
      <w:outlineLvl w:val="5"/>
    </w:pPr>
    <w:rPr>
      <w:rFonts w:asciiTheme="majorHAnsi" w:eastAsiaTheme="majorEastAsia" w:hAnsiTheme="majorHAnsi" w:cstheme="majorBidi"/>
      <w:b/>
      <w:i/>
      <w:color w:val="EF9619" w:themeColor="accent1"/>
      <w:sz w:val="24"/>
    </w:rPr>
  </w:style>
  <w:style w:type="paragraph" w:styleId="Heading7">
    <w:name w:val="heading 7"/>
    <w:basedOn w:val="Normal"/>
    <w:next w:val="Normal"/>
    <w:link w:val="Heading7Char"/>
    <w:uiPriority w:val="9"/>
    <w:semiHidden/>
    <w:unhideWhenUsed/>
    <w:qFormat/>
    <w:pPr>
      <w:keepNext/>
      <w:keepLines/>
      <w:spacing w:before="320" w:line="240" w:lineRule="auto"/>
      <w:contextualSpacing/>
      <w:outlineLvl w:val="6"/>
    </w:pPr>
    <w:rPr>
      <w:rFonts w:asciiTheme="majorHAnsi" w:eastAsiaTheme="majorEastAsia" w:hAnsiTheme="majorHAnsi" w:cstheme="majorBidi"/>
      <w:iCs/>
      <w:color w:val="EF9619" w:themeColor="accent1"/>
      <w:sz w:val="24"/>
    </w:rPr>
  </w:style>
  <w:style w:type="paragraph" w:styleId="Heading8">
    <w:name w:val="heading 8"/>
    <w:basedOn w:val="Normal"/>
    <w:next w:val="Normal"/>
    <w:link w:val="Heading8Char"/>
    <w:uiPriority w:val="9"/>
    <w:semiHidden/>
    <w:unhideWhenUsed/>
    <w:qFormat/>
    <w:pPr>
      <w:keepNext/>
      <w:keepLines/>
      <w:spacing w:before="320" w:line="240" w:lineRule="auto"/>
      <w:contextualSpacing/>
      <w:outlineLvl w:val="7"/>
    </w:pPr>
    <w:rPr>
      <w:rFonts w:asciiTheme="majorHAnsi" w:eastAsiaTheme="majorEastAsia" w:hAnsiTheme="majorHAnsi" w:cstheme="majorBidi"/>
      <w:i/>
      <w:color w:val="EF9619" w:themeColor="accent1"/>
      <w:sz w:val="24"/>
      <w:szCs w:val="21"/>
    </w:rPr>
  </w:style>
  <w:style w:type="paragraph" w:styleId="Heading9">
    <w:name w:val="heading 9"/>
    <w:basedOn w:val="Normal"/>
    <w:next w:val="Normal"/>
    <w:link w:val="Heading9Char"/>
    <w:uiPriority w:val="9"/>
    <w:semiHidden/>
    <w:unhideWhenUsed/>
    <w:qFormat/>
    <w:pPr>
      <w:keepNext/>
      <w:keepLines/>
      <w:spacing w:before="3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E2BF3"/>
    <w:pPr>
      <w:pBdr>
        <w:bottom w:val="single" w:sz="4" w:space="1" w:color="00B0F0"/>
      </w:pBdr>
      <w:spacing w:after="240" w:line="240" w:lineRule="auto"/>
      <w:contextualSpacing/>
    </w:pPr>
    <w:rPr>
      <w:rFonts w:asciiTheme="majorHAnsi" w:eastAsiaTheme="majorEastAsia" w:hAnsiTheme="majorHAnsi" w:cstheme="majorBidi"/>
      <w:color w:val="007E79"/>
      <w:kern w:val="28"/>
      <w:sz w:val="32"/>
      <w:szCs w:val="32"/>
    </w:rPr>
  </w:style>
  <w:style w:type="paragraph" w:styleId="Header">
    <w:name w:val="header"/>
    <w:basedOn w:val="Normal"/>
    <w:link w:val="HeaderChar"/>
    <w:uiPriority w:val="10"/>
    <w:unhideWhenUsed/>
    <w:pPr>
      <w:spacing w:line="240" w:lineRule="auto"/>
    </w:pPr>
  </w:style>
  <w:style w:type="character" w:customStyle="1" w:styleId="TitleChar">
    <w:name w:val="Title Char"/>
    <w:basedOn w:val="DefaultParagraphFont"/>
    <w:link w:val="Title"/>
    <w:uiPriority w:val="1"/>
    <w:rsid w:val="00AE2BF3"/>
    <w:rPr>
      <w:rFonts w:asciiTheme="majorHAnsi" w:eastAsiaTheme="majorEastAsia" w:hAnsiTheme="majorHAnsi" w:cstheme="majorBidi"/>
      <w:color w:val="007E79"/>
      <w:kern w:val="28"/>
      <w:sz w:val="32"/>
      <w:szCs w:val="32"/>
    </w:rPr>
  </w:style>
  <w:style w:type="paragraph" w:styleId="Subtitle">
    <w:name w:val="Subtitle"/>
    <w:basedOn w:val="Normal"/>
    <w:next w:val="Normal"/>
    <w:link w:val="SubtitleChar"/>
    <w:uiPriority w:val="11"/>
    <w:qFormat/>
    <w:pPr>
      <w:spacing w:line="240" w:lineRule="auto"/>
    </w:pPr>
    <w:rPr>
      <w:color w:val="16A3B2"/>
      <w:sz w:val="30"/>
      <w:szCs w:val="30"/>
    </w:rPr>
  </w:style>
  <w:style w:type="character" w:customStyle="1" w:styleId="SubtitleChar">
    <w:name w:val="Subtitle Char"/>
    <w:basedOn w:val="DefaultParagraphFont"/>
    <w:link w:val="Subtitle"/>
    <w:uiPriority w:val="2"/>
    <w:rsid w:val="00F829D3"/>
    <w:rPr>
      <w:rFonts w:eastAsiaTheme="minorEastAsia"/>
      <w:color w:val="16A3B2"/>
      <w:sz w:val="30"/>
    </w:rPr>
  </w:style>
  <w:style w:type="character" w:customStyle="1" w:styleId="Heading1Char">
    <w:name w:val="Heading 1 Char"/>
    <w:aliases w:val="Sub-heading Char"/>
    <w:basedOn w:val="DefaultParagraphFont"/>
    <w:link w:val="Heading1"/>
    <w:uiPriority w:val="9"/>
    <w:rsid w:val="00DF55D8"/>
    <w:rPr>
      <w:rFonts w:asciiTheme="majorHAnsi" w:eastAsia="Arial" w:hAnsiTheme="majorHAnsi" w:cstheme="majorBidi"/>
      <w:b/>
      <w:color w:val="000000"/>
      <w:sz w:val="24"/>
      <w:szCs w:val="24"/>
    </w:rPr>
  </w:style>
  <w:style w:type="character" w:customStyle="1" w:styleId="HeaderChar">
    <w:name w:val="Header Char"/>
    <w:basedOn w:val="DefaultParagraphFont"/>
    <w:link w:val="Header"/>
    <w:uiPriority w:val="10"/>
  </w:style>
  <w:style w:type="character" w:customStyle="1" w:styleId="Heading2Char">
    <w:name w:val="Heading 2 Char"/>
    <w:aliases w:val="Sub-sub heading Char"/>
    <w:basedOn w:val="DefaultParagraphFont"/>
    <w:link w:val="Heading2"/>
    <w:uiPriority w:val="9"/>
    <w:rsid w:val="00DA7F3E"/>
    <w:rPr>
      <w:rFonts w:asciiTheme="majorHAnsi" w:eastAsiaTheme="majorEastAsia" w:hAnsiTheme="majorHAnsi" w:cstheme="majorBidi"/>
      <w:i/>
      <w:color w:val="000000" w:themeColor="text1"/>
    </w:rPr>
  </w:style>
  <w:style w:type="character" w:customStyle="1" w:styleId="Heading3Char">
    <w:name w:val="Heading 3 Char"/>
    <w:basedOn w:val="DefaultParagraphFont"/>
    <w:link w:val="Heading3"/>
    <w:uiPriority w:val="9"/>
    <w:rsid w:val="002358EF"/>
    <w:rPr>
      <w:rFonts w:asciiTheme="majorHAnsi" w:eastAsia="Arial" w:hAnsiTheme="majorHAnsi" w:cstheme="majorBidi"/>
      <w:i/>
      <w:color w:val="000000"/>
      <w:sz w:val="20"/>
      <w:szCs w:val="20"/>
    </w:rPr>
  </w:style>
  <w:style w:type="character" w:customStyle="1" w:styleId="Heading4Char">
    <w:name w:val="Heading 4 Char"/>
    <w:aliases w:val="Quote text Char"/>
    <w:basedOn w:val="DefaultParagraphFont"/>
    <w:link w:val="Heading4"/>
    <w:uiPriority w:val="9"/>
    <w:rsid w:val="00A626D9"/>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EF9619" w:themeColor="accen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EF9619" w:themeColor="accent1"/>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F9619"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F9619"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727AB9" w:themeColor="text2" w:themeTint="80"/>
      <w:sz w:val="24"/>
      <w:szCs w:val="21"/>
    </w:rPr>
  </w:style>
  <w:style w:type="paragraph" w:styleId="Footer">
    <w:name w:val="footer"/>
    <w:basedOn w:val="Normal"/>
    <w:link w:val="FooterChar"/>
    <w:uiPriority w:val="99"/>
    <w:unhideWhenUsed/>
    <w:qFormat/>
    <w:rsid w:val="00223729"/>
    <w:pPr>
      <w:spacing w:line="240" w:lineRule="auto"/>
    </w:pPr>
    <w:rPr>
      <w:i/>
      <w:sz w:val="18"/>
    </w:rPr>
  </w:style>
  <w:style w:type="character" w:customStyle="1" w:styleId="FooterChar">
    <w:name w:val="Footer Char"/>
    <w:basedOn w:val="DefaultParagraphFont"/>
    <w:link w:val="Footer"/>
    <w:uiPriority w:val="99"/>
    <w:rsid w:val="00223729"/>
    <w:rPr>
      <w:i/>
      <w:sz w:val="18"/>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unhideWhenUsed/>
    <w:qFormat/>
    <w:rPr>
      <w:i/>
      <w:iCs/>
      <w:color w:val="1E223D" w:themeColor="text2"/>
    </w:rPr>
  </w:style>
  <w:style w:type="character" w:styleId="Emphasis">
    <w:name w:val="Emphasis"/>
    <w:basedOn w:val="DefaultParagraphFont"/>
    <w:uiPriority w:val="20"/>
    <w:semiHidden/>
    <w:unhideWhenUsed/>
    <w:qFormat/>
    <w:rPr>
      <w:b/>
      <w:iCs/>
      <w:color w:val="EF9619" w:themeColor="accent1"/>
    </w:rPr>
  </w:style>
  <w:style w:type="character" w:styleId="IntenseEmphasis">
    <w:name w:val="Intense Emphasis"/>
    <w:basedOn w:val="DefaultParagraphFont"/>
    <w:uiPriority w:val="21"/>
    <w:semiHidden/>
    <w:unhideWhenUsed/>
    <w:qFormat/>
    <w:rPr>
      <w:b/>
      <w:i/>
      <w:iCs/>
      <w:color w:val="EF9619"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320" w:after="320"/>
    </w:pPr>
    <w:rPr>
      <w:iCs/>
      <w:sz w:val="32"/>
    </w:rPr>
  </w:style>
  <w:style w:type="character" w:customStyle="1" w:styleId="QuoteChar">
    <w:name w:val="Quote Char"/>
    <w:basedOn w:val="DefaultParagraphFont"/>
    <w:link w:val="Quote"/>
    <w:uiPriority w:val="29"/>
    <w:semiHidden/>
    <w:rPr>
      <w:iCs/>
      <w:sz w:val="32"/>
    </w:rPr>
  </w:style>
  <w:style w:type="paragraph" w:styleId="IntenseQuote">
    <w:name w:val="Intense Quote"/>
    <w:basedOn w:val="Normal"/>
    <w:next w:val="Normal"/>
    <w:link w:val="IntenseQuoteChar"/>
    <w:uiPriority w:val="30"/>
    <w:semiHidden/>
    <w:unhideWhenUsed/>
    <w:qFormat/>
    <w:pPr>
      <w:spacing w:before="320" w:after="320"/>
    </w:pPr>
    <w:rPr>
      <w:b/>
      <w:iCs/>
      <w:sz w:val="32"/>
    </w:rPr>
  </w:style>
  <w:style w:type="character" w:customStyle="1" w:styleId="IntenseQuoteChar">
    <w:name w:val="Intense Quote Char"/>
    <w:basedOn w:val="DefaultParagraphFont"/>
    <w:link w:val="IntenseQuote"/>
    <w:uiPriority w:val="30"/>
    <w:semiHidden/>
    <w:rPr>
      <w:b/>
      <w:iCs/>
      <w:sz w:val="32"/>
    </w:rPr>
  </w:style>
  <w:style w:type="character" w:styleId="SubtleReference">
    <w:name w:val="Subtle Reference"/>
    <w:basedOn w:val="DefaultParagraphFont"/>
    <w:uiPriority w:val="31"/>
    <w:semiHidden/>
    <w:unhideWhenUsed/>
    <w:qFormat/>
    <w:rPr>
      <w:caps/>
      <w:smallCaps w:val="0"/>
      <w:color w:val="1E223D" w:themeColor="text2"/>
    </w:rPr>
  </w:style>
  <w:style w:type="character" w:styleId="IntenseReference">
    <w:name w:val="Intense Reference"/>
    <w:basedOn w:val="DefaultParagraphFont"/>
    <w:uiPriority w:val="32"/>
    <w:semiHidden/>
    <w:unhideWhenUsed/>
    <w:qFormat/>
    <w:rPr>
      <w:b/>
      <w:bCs/>
      <w:caps/>
      <w:smallCaps w:val="0"/>
      <w:color w:val="1E223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table" w:customStyle="1" w:styleId="GeneralTable">
    <w:name w:val="General Table"/>
    <w:basedOn w:val="TableNormal"/>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 w:type="paragraph" w:styleId="ListParagraph">
    <w:name w:val="List Paragraph"/>
    <w:basedOn w:val="Normal"/>
    <w:uiPriority w:val="34"/>
    <w:unhideWhenUsed/>
    <w:qFormat/>
    <w:rsid w:val="00A4164F"/>
    <w:pPr>
      <w:numPr>
        <w:numId w:val="2"/>
      </w:numPr>
      <w:spacing w:after="60"/>
    </w:pPr>
    <w:rPr>
      <w:bCs/>
    </w:rPr>
  </w:style>
  <w:style w:type="paragraph" w:customStyle="1" w:styleId="TableTextBold">
    <w:name w:val="Table Text Bold"/>
    <w:rsid w:val="00A626D9"/>
    <w:pPr>
      <w:spacing w:line="240" w:lineRule="auto"/>
    </w:pPr>
    <w:rPr>
      <w:rFonts w:ascii="Tahoma" w:eastAsia="Times New Roman" w:hAnsi="Tahoma" w:cs="Times New Roman"/>
      <w:b/>
      <w:spacing w:val="6"/>
      <w:sz w:val="15"/>
      <w:szCs w:val="16"/>
    </w:rPr>
  </w:style>
  <w:style w:type="paragraph" w:customStyle="1" w:styleId="TableText">
    <w:name w:val="Table Text"/>
    <w:rsid w:val="00A626D9"/>
    <w:pPr>
      <w:spacing w:before="40" w:line="200" w:lineRule="atLeast"/>
    </w:pPr>
    <w:rPr>
      <w:rFonts w:ascii="Tahoma" w:eastAsia="Times New Roman" w:hAnsi="Tahoma" w:cs="Times New Roman"/>
      <w:spacing w:val="6"/>
      <w:sz w:val="15"/>
      <w:szCs w:val="16"/>
    </w:rPr>
  </w:style>
  <w:style w:type="paragraph" w:customStyle="1" w:styleId="IndentedBodyText">
    <w:name w:val="Indented Body Text"/>
    <w:basedOn w:val="Normal"/>
    <w:link w:val="IndentedBodyTextChar"/>
    <w:rsid w:val="00A152E8"/>
    <w:pPr>
      <w:ind w:left="360"/>
    </w:pPr>
  </w:style>
  <w:style w:type="character" w:customStyle="1" w:styleId="IndentedBodyTextChar">
    <w:name w:val="Indented Body Text Char"/>
    <w:basedOn w:val="DefaultParagraphFont"/>
    <w:link w:val="IndentedBodyText"/>
    <w:rsid w:val="00A152E8"/>
    <w:rPr>
      <w:rFonts w:ascii="Arial" w:eastAsia="Arial" w:hAnsi="Arial" w:cs="Arial"/>
      <w:color w:val="000000"/>
      <w:sz w:val="20"/>
      <w:szCs w:val="20"/>
    </w:rPr>
  </w:style>
  <w:style w:type="character" w:styleId="PageNumber">
    <w:name w:val="page number"/>
    <w:basedOn w:val="DefaultParagraphFont"/>
    <w:uiPriority w:val="99"/>
    <w:semiHidden/>
    <w:unhideWhenUsed/>
    <w:rsid w:val="001E79EB"/>
  </w:style>
  <w:style w:type="paragraph" w:styleId="NoSpacing">
    <w:name w:val="No Spacing"/>
    <w:link w:val="NoSpacingChar"/>
    <w:uiPriority w:val="1"/>
    <w:qFormat/>
    <w:rsid w:val="009C59D3"/>
    <w:pPr>
      <w:spacing w:line="240" w:lineRule="auto"/>
    </w:pPr>
    <w:rPr>
      <w:rFonts w:eastAsiaTheme="minorEastAsia"/>
      <w:lang w:eastAsia="zh-CN"/>
    </w:rPr>
  </w:style>
  <w:style w:type="character" w:customStyle="1" w:styleId="NoSpacingChar">
    <w:name w:val="No Spacing Char"/>
    <w:basedOn w:val="DefaultParagraphFont"/>
    <w:link w:val="NoSpacing"/>
    <w:uiPriority w:val="1"/>
    <w:rsid w:val="009C59D3"/>
    <w:rPr>
      <w:rFonts w:eastAsiaTheme="minorEastAsia"/>
      <w:color w:val="auto"/>
      <w:lang w:eastAsia="zh-CN"/>
    </w:rPr>
  </w:style>
  <w:style w:type="paragraph" w:styleId="BalloonText">
    <w:name w:val="Balloon Text"/>
    <w:basedOn w:val="Normal"/>
    <w:link w:val="BalloonTextChar"/>
    <w:uiPriority w:val="99"/>
    <w:semiHidden/>
    <w:unhideWhenUsed/>
    <w:rsid w:val="00AE2F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B3"/>
    <w:rPr>
      <w:rFonts w:ascii="Segoe UI" w:eastAsiaTheme="minorEastAsia" w:hAnsi="Segoe UI" w:cs="Segoe UI"/>
      <w:sz w:val="18"/>
      <w:szCs w:val="18"/>
    </w:rPr>
  </w:style>
  <w:style w:type="table" w:customStyle="1" w:styleId="UniSmarter">
    <w:name w:val="UniSmarter"/>
    <w:basedOn w:val="TableNormal"/>
    <w:uiPriority w:val="99"/>
    <w:rsid w:val="00D92880"/>
    <w:pPr>
      <w:spacing w:line="240" w:lineRule="auto"/>
    </w:pPr>
    <w:tblPr/>
    <w:tcPr>
      <w:shd w:val="clear" w:color="auto" w:fill="16A2B1"/>
    </w:tc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744F56"/>
    <w:rPr>
      <w:color w:val="3D9AA7" w:themeColor="hyperlink"/>
      <w:u w:val="single"/>
    </w:rPr>
  </w:style>
  <w:style w:type="paragraph" w:styleId="CommentSubject">
    <w:name w:val="annotation subject"/>
    <w:basedOn w:val="CommentText"/>
    <w:next w:val="CommentText"/>
    <w:link w:val="CommentSubjectChar"/>
    <w:uiPriority w:val="99"/>
    <w:semiHidden/>
    <w:unhideWhenUsed/>
    <w:rsid w:val="00921B97"/>
    <w:rPr>
      <w:b/>
      <w:bCs/>
    </w:rPr>
  </w:style>
  <w:style w:type="character" w:customStyle="1" w:styleId="CommentSubjectChar">
    <w:name w:val="Comment Subject Char"/>
    <w:basedOn w:val="CommentTextChar"/>
    <w:link w:val="CommentSubject"/>
    <w:uiPriority w:val="99"/>
    <w:semiHidden/>
    <w:rsid w:val="00921B97"/>
    <w:rPr>
      <w:rFonts w:ascii="Arial" w:eastAsia="Arial" w:hAnsi="Arial" w:cs="Arial"/>
      <w:b/>
      <w:bCs/>
      <w:color w:val="000000"/>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before="240" w:line="240" w:lineRule="auto"/>
      <w:ind w:left="144" w:right="144"/>
    </w:pPr>
    <w:tblPr>
      <w:tblStyleRowBandSize w:val="1"/>
      <w:tblStyleColBandSize w:val="1"/>
      <w:tblCellMar>
        <w:left w:w="0" w:type="dxa"/>
        <w:right w:w="0" w:type="dxa"/>
      </w:tblCellMar>
    </w:tblPr>
    <w:tcPr>
      <w:shd w:val="clear" w:color="auto" w:fill="16A2B1"/>
    </w:tcPr>
  </w:style>
  <w:style w:type="paragraph" w:styleId="NormalWeb">
    <w:name w:val="Normal (Web)"/>
    <w:basedOn w:val="Normal"/>
    <w:uiPriority w:val="99"/>
    <w:semiHidden/>
    <w:unhideWhenUsed/>
    <w:rsid w:val="00722E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right="0"/>
      <w:jc w:val="left"/>
    </w:pPr>
    <w:rPr>
      <w:rFonts w:ascii="Times New Roman" w:eastAsia="Times New Roman" w:hAnsi="Times New Roman" w:cs="Times New Roman"/>
      <w:color w:val="auto"/>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49300">
      <w:bodyDiv w:val="1"/>
      <w:marLeft w:val="0"/>
      <w:marRight w:val="0"/>
      <w:marTop w:val="0"/>
      <w:marBottom w:val="0"/>
      <w:divBdr>
        <w:top w:val="none" w:sz="0" w:space="0" w:color="auto"/>
        <w:left w:val="none" w:sz="0" w:space="0" w:color="auto"/>
        <w:bottom w:val="none" w:sz="0" w:space="0" w:color="auto"/>
        <w:right w:val="none" w:sz="0" w:space="0" w:color="auto"/>
      </w:divBdr>
    </w:div>
    <w:div w:id="810951260">
      <w:bodyDiv w:val="1"/>
      <w:marLeft w:val="0"/>
      <w:marRight w:val="0"/>
      <w:marTop w:val="0"/>
      <w:marBottom w:val="0"/>
      <w:divBdr>
        <w:top w:val="none" w:sz="0" w:space="0" w:color="auto"/>
        <w:left w:val="none" w:sz="0" w:space="0" w:color="auto"/>
        <w:bottom w:val="none" w:sz="0" w:space="0" w:color="auto"/>
        <w:right w:val="none" w:sz="0" w:space="0" w:color="auto"/>
      </w:divBdr>
    </w:div>
    <w:div w:id="1003898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5">
      <a:dk1>
        <a:sysClr val="windowText" lastClr="000000"/>
      </a:dk1>
      <a:lt1>
        <a:sysClr val="window" lastClr="FFFFFF"/>
      </a:lt1>
      <a:dk2>
        <a:srgbClr val="1E223D"/>
      </a:dk2>
      <a:lt2>
        <a:srgbClr val="F3F2EF"/>
      </a:lt2>
      <a:accent1>
        <a:srgbClr val="EF9619"/>
      </a:accent1>
      <a:accent2>
        <a:srgbClr val="628F4F"/>
      </a:accent2>
      <a:accent3>
        <a:srgbClr val="5D6676"/>
      </a:accent3>
      <a:accent4>
        <a:srgbClr val="CF6442"/>
      </a:accent4>
      <a:accent5>
        <a:srgbClr val="3D9AA7"/>
      </a:accent5>
      <a:accent6>
        <a:srgbClr val="986178"/>
      </a:accent6>
      <a:hlink>
        <a:srgbClr val="3D9AA7"/>
      </a:hlink>
      <a:folHlink>
        <a:srgbClr val="986178"/>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SSTauxyTDNuh60jPlUD7E2sxQ==">AMUW2mUnI2SGRERELLiAfqa0IypGaHmOsVqM7Gh5/otDmJdqkxB7jjXJag7RcmSRAsM+cnH11cyzK4JSRjDt7dHfScuZ5on2euMvknqB0M/0k6Bip/qHkpLu4rlGUok7JZVjn3Tfgf3SNuEA1RZvNzo13Qforuq/68JceIDvIs6JmyyByecxVV0=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Shejeen Mostafa</cp:lastModifiedBy>
  <cp:revision>2</cp:revision>
  <dcterms:created xsi:type="dcterms:W3CDTF">2021-05-07T05:07:00Z</dcterms:created>
  <dcterms:modified xsi:type="dcterms:W3CDTF">2021-05-07T05:07:00Z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0x010100789AF6EF1198D4409695180632D1F956</vt:lpwstr>
  </property>
</Properties>
</file>